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3062999E" w14:textId="6F28D9C2" w:rsidR="00BC5932" w:rsidRPr="00F812D2" w:rsidRDefault="00033CC5" w:rsidP="00BC5932">
      <w:pPr>
        <w:spacing w:after="120" w:line="276" w:lineRule="auto"/>
        <w:jc w:val="both"/>
        <w:rPr>
          <w:rFonts w:ascii="Arial" w:hAnsi="Arial" w:cs="Arial"/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 xml:space="preserve">Trh ojetin: </w:t>
      </w:r>
      <w:r w:rsidR="00760046">
        <w:rPr>
          <w:b/>
          <w:bCs/>
          <w:color w:val="00B0F0"/>
          <w:sz w:val="36"/>
          <w:szCs w:val="36"/>
        </w:rPr>
        <w:t>Zájem o elektromobilitu</w:t>
      </w:r>
      <w:r>
        <w:rPr>
          <w:b/>
          <w:bCs/>
          <w:color w:val="00B0F0"/>
          <w:sz w:val="36"/>
          <w:szCs w:val="36"/>
        </w:rPr>
        <w:t xml:space="preserve"> </w:t>
      </w:r>
      <w:r w:rsidR="00760046">
        <w:rPr>
          <w:b/>
          <w:bCs/>
          <w:color w:val="00B0F0"/>
          <w:sz w:val="36"/>
          <w:szCs w:val="36"/>
        </w:rPr>
        <w:t>mezi podnikateli roste</w:t>
      </w:r>
      <w:r>
        <w:rPr>
          <w:b/>
          <w:bCs/>
          <w:color w:val="00B0F0"/>
          <w:sz w:val="36"/>
          <w:szCs w:val="36"/>
        </w:rPr>
        <w:t xml:space="preserve">, v hledáčku jsou </w:t>
      </w:r>
      <w:r w:rsidR="00C54BAF">
        <w:rPr>
          <w:b/>
          <w:bCs/>
          <w:color w:val="00B0F0"/>
          <w:sz w:val="36"/>
          <w:szCs w:val="36"/>
        </w:rPr>
        <w:t>elektromobily i hybridy</w:t>
      </w:r>
    </w:p>
    <w:p w14:paraId="5799A2E4" w14:textId="43FA12A3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C5932">
        <w:rPr>
          <w:rFonts w:ascii="Arial" w:hAnsi="Arial" w:cs="Arial"/>
          <w:b/>
          <w:bCs/>
        </w:rPr>
        <w:t xml:space="preserve">Praha, </w:t>
      </w:r>
      <w:r w:rsidR="00597DFC">
        <w:rPr>
          <w:rFonts w:ascii="Arial" w:hAnsi="Arial" w:cs="Arial"/>
          <w:b/>
          <w:bCs/>
        </w:rPr>
        <w:t>20.</w:t>
      </w:r>
      <w:r w:rsidRPr="00BC5932">
        <w:rPr>
          <w:rFonts w:ascii="Arial" w:hAnsi="Arial" w:cs="Arial"/>
          <w:b/>
          <w:bCs/>
        </w:rPr>
        <w:t>prosince 2023</w:t>
      </w:r>
      <w:r w:rsidRPr="00BC5932">
        <w:rPr>
          <w:rFonts w:ascii="Arial" w:hAnsi="Arial" w:cs="Arial"/>
          <w:b/>
          <w:bCs/>
          <w:i/>
          <w:iCs/>
        </w:rPr>
        <w:t xml:space="preserve"> –</w:t>
      </w:r>
      <w:r w:rsidRPr="00BC5932">
        <w:rPr>
          <w:rFonts w:ascii="Arial" w:hAnsi="Arial" w:cs="Arial"/>
          <w:b/>
          <w:bCs/>
        </w:rPr>
        <w:t xml:space="preserve"> Do nového roku s novým služebním vozem. Listopad a prosinec se tradičně nese ve znamení obměny vozového parku firem a podnikatelů. Analýza auto-moto inzertního webu TipCars.com ukazuje, že letos </w:t>
      </w:r>
      <w:r w:rsidR="00760046">
        <w:rPr>
          <w:rFonts w:ascii="Arial" w:hAnsi="Arial" w:cs="Arial"/>
          <w:b/>
          <w:bCs/>
        </w:rPr>
        <w:t>podnikatelé</w:t>
      </w:r>
      <w:r w:rsidRPr="00BC5932">
        <w:rPr>
          <w:rFonts w:ascii="Arial" w:hAnsi="Arial" w:cs="Arial"/>
          <w:b/>
          <w:bCs/>
        </w:rPr>
        <w:t xml:space="preserve"> více než kdy jindy zvažují nákup modelů s elektrickým pohonem. Mezi říjnem a listopadem vzrostl počet vyhledávání elektromobilů s odpočtem DPH o 53 %. Meziročně pak j</w:t>
      </w:r>
      <w:r w:rsidR="00886F9B">
        <w:rPr>
          <w:rFonts w:ascii="Arial" w:hAnsi="Arial" w:cs="Arial"/>
          <w:b/>
          <w:bCs/>
        </w:rPr>
        <w:t>de</w:t>
      </w:r>
      <w:r w:rsidRPr="00BC5932">
        <w:rPr>
          <w:rFonts w:ascii="Arial" w:hAnsi="Arial" w:cs="Arial"/>
          <w:b/>
          <w:bCs/>
        </w:rPr>
        <w:t xml:space="preserve"> o více než 200% nárůst.</w:t>
      </w:r>
    </w:p>
    <w:p w14:paraId="409B7C02" w14:textId="6C33A565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</w:rPr>
      </w:pPr>
      <w:r w:rsidRPr="00BC5932">
        <w:rPr>
          <w:rFonts w:ascii="Arial" w:hAnsi="Arial" w:cs="Arial"/>
          <w:i/>
          <w:iCs/>
        </w:rPr>
        <w:t>„Obliba elektromobilů dlouhodobě roste mezi běžnými řidiči. Letos poprvé ji však sledujeme také u podnikatelů,“</w:t>
      </w:r>
      <w:r w:rsidRPr="00BC5932">
        <w:rPr>
          <w:rFonts w:ascii="Arial" w:hAnsi="Arial" w:cs="Arial"/>
        </w:rPr>
        <w:t xml:space="preserve"> říká Ing. Marek Knieža, ředitel jednoho z největších českých auto-moto inzertních webů TipCars.com, který má aktuálně v nabídce přes tři tisíce nových i ojetých elektromobilů a hybridů. </w:t>
      </w:r>
      <w:r w:rsidRPr="00BC5932">
        <w:rPr>
          <w:rFonts w:ascii="Arial" w:hAnsi="Arial" w:cs="Arial"/>
          <w:i/>
          <w:iCs/>
        </w:rPr>
        <w:t>„Mezi klíčové faktory může patřit nejen optimalizace daňového základu, ale také možnosti dotací na fotovoltaické nabíječky pro elektroauta nebo nástup hodnocení ESG.“</w:t>
      </w:r>
    </w:p>
    <w:p w14:paraId="6A7E5E3C" w14:textId="145D055C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</w:rPr>
      </w:pPr>
      <w:r w:rsidRPr="00BC5932">
        <w:rPr>
          <w:rFonts w:ascii="Arial" w:hAnsi="Arial" w:cs="Arial"/>
        </w:rPr>
        <w:t xml:space="preserve">Zatímco meziročně došlo ke zvýšení počtu vyhledávání automobilů s čistě elektrickým pohonem o 53 %, elektromobily s možností odpočtu DPH si mezi listopadem 2022 a 2023 polepšily o 212 %. </w:t>
      </w:r>
      <w:r w:rsidRPr="00BC5932">
        <w:rPr>
          <w:rFonts w:ascii="Arial" w:hAnsi="Arial" w:cs="Arial"/>
          <w:i/>
          <w:iCs/>
        </w:rPr>
        <w:t>„Naprosté minimum návštěvníků serveru TipCars.com přitom volilo parametr nového vozu. S ohledem na průměrný nájezd inzerovaných elektromobilů kolem 28 000 km lze ovšem říct, že většina spadá do kategorie mladých, resp. zánovních aut,“</w:t>
      </w:r>
      <w:r w:rsidRPr="00BC5932">
        <w:rPr>
          <w:rFonts w:ascii="Arial" w:hAnsi="Arial" w:cs="Arial"/>
        </w:rPr>
        <w:t xml:space="preserve"> upozorňuje na zajímavý fakt Ing. Marek Knieža.</w:t>
      </w:r>
    </w:p>
    <w:p w14:paraId="3DB86410" w14:textId="4FA36307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</w:rPr>
      </w:pPr>
      <w:r w:rsidRPr="00BC5932">
        <w:rPr>
          <w:rFonts w:ascii="Arial" w:hAnsi="Arial" w:cs="Arial"/>
        </w:rPr>
        <w:t>Rostoucí trend vyhledávání vykazují také hybridy. Meziročně se jedná o 23 %. Zájemců o hybrid s odpočtem DPH však bylo v listopadu 2023 dokonce o 70 % více než před rokem. Tak jako u kategorie BEV převažuje vyhledávání ojetin. Ty mají v porovnání s čistě elektrickými vozy vyšší nájezd, průměrně téměř 45 000 km.</w:t>
      </w:r>
    </w:p>
    <w:p w14:paraId="65E39C91" w14:textId="77777777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C5932">
        <w:rPr>
          <w:rFonts w:ascii="Arial" w:hAnsi="Arial" w:cs="Arial"/>
          <w:b/>
          <w:bCs/>
        </w:rPr>
        <w:t>Zimním hitem je tepelné čerpadlo</w:t>
      </w:r>
    </w:p>
    <w:p w14:paraId="08D9FEFD" w14:textId="0C229EE4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BC5932">
        <w:rPr>
          <w:rFonts w:ascii="Arial" w:hAnsi="Arial" w:cs="Arial"/>
        </w:rPr>
        <w:t>Vedle DPH identifikovali analytici webu TipCars.com ještě jeden výrazně rostoucí prvek. S příchodem chladného počasí začali návštěvníci využívat možnost filtrovat elektromobily podle položek výbavy.</w:t>
      </w:r>
      <w:r w:rsidRPr="00BC5932">
        <w:rPr>
          <w:rFonts w:ascii="Arial" w:hAnsi="Arial" w:cs="Arial"/>
          <w:i/>
          <w:iCs/>
        </w:rPr>
        <w:t xml:space="preserve"> „Zatímco u aut se spalovacím motorem se lidé zajímají o vyhřívaná sedadla a nezávislé topení, </w:t>
      </w:r>
      <w:proofErr w:type="spellStart"/>
      <w:r w:rsidRPr="00BC5932">
        <w:rPr>
          <w:rFonts w:ascii="Arial" w:hAnsi="Arial" w:cs="Arial"/>
          <w:i/>
          <w:iCs/>
        </w:rPr>
        <w:t>elektromobilisté</w:t>
      </w:r>
      <w:proofErr w:type="spellEnd"/>
      <w:r w:rsidRPr="00BC5932">
        <w:rPr>
          <w:rFonts w:ascii="Arial" w:hAnsi="Arial" w:cs="Arial"/>
          <w:i/>
          <w:iCs/>
        </w:rPr>
        <w:t xml:space="preserve"> hledají tepelné čerpadlo. To jim i v mrazivých dnech zajistí příjemný tepelný komfort na palubě bez nepříjemného snížení dojezdu,“ </w:t>
      </w:r>
      <w:r w:rsidRPr="00BC5932">
        <w:rPr>
          <w:rFonts w:ascii="Arial" w:hAnsi="Arial" w:cs="Arial"/>
        </w:rPr>
        <w:t>vysvětluje Ing. Marek Knieža</w:t>
      </w:r>
      <w:r w:rsidR="00597DFC">
        <w:rPr>
          <w:rFonts w:ascii="Arial" w:hAnsi="Arial" w:cs="Arial"/>
        </w:rPr>
        <w:t xml:space="preserve">. </w:t>
      </w:r>
      <w:r w:rsidR="00597DFC" w:rsidRPr="00475554">
        <w:rPr>
          <w:rFonts w:ascii="Arial" w:hAnsi="Arial" w:cs="Arial"/>
        </w:rPr>
        <w:t>Řečí čísel lidé oproti relativně teplému říjnu hledali v listopadu 17x více vozy s tepelným čerpadlem.</w:t>
      </w:r>
    </w:p>
    <w:p w14:paraId="2E17DDFE" w14:textId="77777777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C5932">
        <w:rPr>
          <w:rFonts w:ascii="Arial" w:hAnsi="Arial" w:cs="Arial"/>
          <w:b/>
          <w:bCs/>
        </w:rPr>
        <w:t>Toyota ujíždí konkurenci, BMW udržuje náskok</w:t>
      </w:r>
    </w:p>
    <w:p w14:paraId="64AC27F2" w14:textId="46D1C16F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</w:rPr>
      </w:pPr>
      <w:r w:rsidRPr="00BC5932">
        <w:rPr>
          <w:rFonts w:ascii="Arial" w:hAnsi="Arial" w:cs="Arial"/>
        </w:rPr>
        <w:t>Dlouhodobě nejčastěji inzerovanou značkou v kategorii „Elektro a hybridy“ na webu TipCars.com je Toyota. Nejinak tomu bylo v listopadu, kdy měla mezi nabízenými vozy téměř dvojnásobný počet zástupců než druhé BMW, konkrétně 850 vs. 448. Bavorští pak mě</w:t>
      </w:r>
      <w:r w:rsidR="00886F9B">
        <w:rPr>
          <w:rFonts w:ascii="Arial" w:hAnsi="Arial" w:cs="Arial"/>
        </w:rPr>
        <w:t>li</w:t>
      </w:r>
      <w:r w:rsidRPr="00BC5932">
        <w:rPr>
          <w:rFonts w:ascii="Arial" w:hAnsi="Arial" w:cs="Arial"/>
        </w:rPr>
        <w:t xml:space="preserve"> zhruba dvakrát více inzerátů než třetí Lexus (235). Mezi prémiovou divizí Toyoty, čtvrtým Fordem (204) a pátým Volvem (158) pak byly rozdíly v desítkách kusů.</w:t>
      </w:r>
    </w:p>
    <w:p w14:paraId="3B85647A" w14:textId="77777777" w:rsidR="00BC5932" w:rsidRPr="00BC5932" w:rsidRDefault="00BC5932" w:rsidP="00BC5932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671AEED7" w14:textId="2A6F8FE1" w:rsidR="00886F9B" w:rsidRDefault="00BC5932" w:rsidP="00BC5932">
      <w:pPr>
        <w:spacing w:after="120" w:line="276" w:lineRule="auto"/>
        <w:jc w:val="both"/>
        <w:rPr>
          <w:rFonts w:ascii="Arial" w:hAnsi="Arial" w:cs="Arial"/>
        </w:rPr>
      </w:pPr>
      <w:r w:rsidRPr="00BC5932">
        <w:rPr>
          <w:rFonts w:ascii="Arial" w:hAnsi="Arial" w:cs="Arial"/>
        </w:rPr>
        <w:lastRenderedPageBreak/>
        <w:t xml:space="preserve">Co se týče modelů, jedničkou Toyoty je model </w:t>
      </w:r>
      <w:proofErr w:type="spellStart"/>
      <w:r w:rsidRPr="00BC5932">
        <w:rPr>
          <w:rFonts w:ascii="Arial" w:hAnsi="Arial" w:cs="Arial"/>
        </w:rPr>
        <w:t>Corolla</w:t>
      </w:r>
      <w:proofErr w:type="spellEnd"/>
      <w:r w:rsidRPr="00BC5932">
        <w:rPr>
          <w:rFonts w:ascii="Arial" w:hAnsi="Arial" w:cs="Arial"/>
        </w:rPr>
        <w:t xml:space="preserve"> aktuální, tj. dvanácté generace. Jedná se o hybridy s průměrnou cenou 678 000 Kč. U </w:t>
      </w:r>
      <w:r w:rsidR="0045074C">
        <w:rPr>
          <w:rFonts w:ascii="Arial" w:hAnsi="Arial" w:cs="Arial"/>
        </w:rPr>
        <w:t>BMW</w:t>
      </w:r>
      <w:r w:rsidRPr="00BC5932">
        <w:rPr>
          <w:rFonts w:ascii="Arial" w:hAnsi="Arial" w:cs="Arial"/>
        </w:rPr>
        <w:t xml:space="preserve"> v inzerci vede čistě elektrické i3 s průměrnou cenou 627 000 Kč, resp. v rozpětí od 300 000 Kč do milionu a čtvrt. Lexus je v inzerci zastoupen nejčastěji hybridy 450 řady RX 4. generace za průměrných 1 180 000 Kč. Inzerci modelů Ford vede </w:t>
      </w:r>
      <w:proofErr w:type="spellStart"/>
      <w:r w:rsidRPr="00BC5932">
        <w:rPr>
          <w:rFonts w:ascii="Arial" w:hAnsi="Arial" w:cs="Arial"/>
        </w:rPr>
        <w:t>mild</w:t>
      </w:r>
      <w:proofErr w:type="spellEnd"/>
      <w:r w:rsidRPr="00BC5932">
        <w:rPr>
          <w:rFonts w:ascii="Arial" w:hAnsi="Arial" w:cs="Arial"/>
        </w:rPr>
        <w:t>-hybridní Puma s průměrem 523 000 Kč. Bestsellerem Volva je XC90, které je také nejdražším reprezentantem pětice nejinzerovanějších elektrifikovaných automobilů na webu TipCars.com. Průměrná cena švédského SUV atakuje 2 miliony korun.</w:t>
      </w:r>
    </w:p>
    <w:p w14:paraId="164F79CA" w14:textId="736B5580" w:rsidR="00886F9B" w:rsidRDefault="00886F9B" w:rsidP="00BC5932">
      <w:pPr>
        <w:spacing w:after="120"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BC16E4" wp14:editId="72BD2B81">
            <wp:extent cx="5734050" cy="2990850"/>
            <wp:effectExtent l="0" t="0" r="0" b="0"/>
            <wp:docPr id="155929395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3B1CDAA-E376-09BC-C1E9-199B88168F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01E0A9" w14:textId="411C89E8" w:rsidR="00886F9B" w:rsidRPr="00886F9B" w:rsidRDefault="00886F9B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 TipCars.com</w:t>
      </w:r>
    </w:p>
    <w:p w14:paraId="7510A5EA" w14:textId="7DDE0AE5" w:rsidR="00886F9B" w:rsidRDefault="00F812D2" w:rsidP="00BC5932">
      <w:pPr>
        <w:spacing w:after="120"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54FFE8" wp14:editId="18A5B92E">
            <wp:extent cx="5724525" cy="3314700"/>
            <wp:effectExtent l="0" t="0" r="9525" b="0"/>
            <wp:docPr id="958745800" name="Graf 1" title="Gra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17CE2F" w14:textId="77777777" w:rsidR="00F812D2" w:rsidRPr="00886F9B" w:rsidRDefault="00F812D2" w:rsidP="00F812D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 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lastRenderedPageBreak/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9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733D80EF" w14:textId="2B37A341" w:rsidR="002A74F4" w:rsidRDefault="00496E4F" w:rsidP="002A74F4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p w14:paraId="681E43C7" w14:textId="77777777" w:rsidR="002A74F4" w:rsidRDefault="002A74F4" w:rsidP="002A74F4">
      <w:pPr>
        <w:spacing w:after="200" w:line="300" w:lineRule="atLeast"/>
        <w:contextualSpacing/>
        <w:rPr>
          <w:rFonts w:ascii="Arial" w:hAnsi="Arial" w:cs="Arial"/>
          <w:i/>
          <w:iCs/>
          <w:kern w:val="0"/>
          <w14:ligatures w14:val="none"/>
        </w:rPr>
      </w:pPr>
    </w:p>
    <w:p w14:paraId="191AA2D4" w14:textId="77777777" w:rsidR="002A74F4" w:rsidRPr="002A74F4" w:rsidRDefault="002A74F4" w:rsidP="002A74F4">
      <w:pPr>
        <w:spacing w:after="200" w:line="300" w:lineRule="atLeast"/>
        <w:contextualSpacing/>
        <w:rPr>
          <w:rFonts w:ascii="Arial" w:hAnsi="Arial" w:cs="Arial"/>
          <w:i/>
          <w:iCs/>
          <w:kern w:val="0"/>
          <w14:ligatures w14:val="none"/>
        </w:rPr>
      </w:pPr>
    </w:p>
    <w:sectPr w:rsidR="002A74F4" w:rsidRPr="002A74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B5C4" w14:textId="77777777" w:rsidR="0085452A" w:rsidRDefault="0085452A" w:rsidP="00496E4F">
      <w:r>
        <w:separator/>
      </w:r>
    </w:p>
  </w:endnote>
  <w:endnote w:type="continuationSeparator" w:id="0">
    <w:p w14:paraId="4A3F49C8" w14:textId="77777777" w:rsidR="0085452A" w:rsidRDefault="0085452A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91ED" w14:textId="77777777" w:rsidR="0085452A" w:rsidRDefault="0085452A" w:rsidP="00496E4F">
      <w:r>
        <w:separator/>
      </w:r>
    </w:p>
  </w:footnote>
  <w:footnote w:type="continuationSeparator" w:id="0">
    <w:p w14:paraId="2F2835ED" w14:textId="77777777" w:rsidR="0085452A" w:rsidRDefault="0085452A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2"/>
  </w:num>
  <w:num w:numId="2" w16cid:durableId="845897220">
    <w:abstractNumId w:val="4"/>
  </w:num>
  <w:num w:numId="3" w16cid:durableId="1682003675">
    <w:abstractNumId w:val="3"/>
  </w:num>
  <w:num w:numId="4" w16cid:durableId="2016613656">
    <w:abstractNumId w:val="3"/>
  </w:num>
  <w:num w:numId="5" w16cid:durableId="1765346164">
    <w:abstractNumId w:val="0"/>
  </w:num>
  <w:num w:numId="6" w16cid:durableId="47534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22FD2"/>
    <w:rsid w:val="00033CC5"/>
    <w:rsid w:val="00054449"/>
    <w:rsid w:val="0006752A"/>
    <w:rsid w:val="000A5E7F"/>
    <w:rsid w:val="00102D56"/>
    <w:rsid w:val="00105D27"/>
    <w:rsid w:val="00117CB2"/>
    <w:rsid w:val="00135ACE"/>
    <w:rsid w:val="00164EBE"/>
    <w:rsid w:val="001677C3"/>
    <w:rsid w:val="0021733B"/>
    <w:rsid w:val="00221517"/>
    <w:rsid w:val="00235FB3"/>
    <w:rsid w:val="002467FF"/>
    <w:rsid w:val="00266321"/>
    <w:rsid w:val="002966FA"/>
    <w:rsid w:val="002A60A4"/>
    <w:rsid w:val="002A74F4"/>
    <w:rsid w:val="002C51E3"/>
    <w:rsid w:val="00301DCB"/>
    <w:rsid w:val="00303E12"/>
    <w:rsid w:val="003931E5"/>
    <w:rsid w:val="003D4AE6"/>
    <w:rsid w:val="0045074C"/>
    <w:rsid w:val="00450F61"/>
    <w:rsid w:val="00465AB6"/>
    <w:rsid w:val="00475554"/>
    <w:rsid w:val="00477210"/>
    <w:rsid w:val="00490A0D"/>
    <w:rsid w:val="00496E4F"/>
    <w:rsid w:val="004C2A8A"/>
    <w:rsid w:val="004E5D95"/>
    <w:rsid w:val="00545CC2"/>
    <w:rsid w:val="00567194"/>
    <w:rsid w:val="00574B85"/>
    <w:rsid w:val="00597DFC"/>
    <w:rsid w:val="005A48A6"/>
    <w:rsid w:val="005B5F88"/>
    <w:rsid w:val="005D233A"/>
    <w:rsid w:val="006248E3"/>
    <w:rsid w:val="00634F3D"/>
    <w:rsid w:val="00644565"/>
    <w:rsid w:val="006573BB"/>
    <w:rsid w:val="00662AEA"/>
    <w:rsid w:val="006649AA"/>
    <w:rsid w:val="00672B3A"/>
    <w:rsid w:val="00673CBE"/>
    <w:rsid w:val="006D07D4"/>
    <w:rsid w:val="006D26DB"/>
    <w:rsid w:val="006D634E"/>
    <w:rsid w:val="00707DC9"/>
    <w:rsid w:val="00720B14"/>
    <w:rsid w:val="0074035F"/>
    <w:rsid w:val="00760046"/>
    <w:rsid w:val="00787B3B"/>
    <w:rsid w:val="00792239"/>
    <w:rsid w:val="007D778C"/>
    <w:rsid w:val="007F6143"/>
    <w:rsid w:val="0080068B"/>
    <w:rsid w:val="00801E7F"/>
    <w:rsid w:val="008219B1"/>
    <w:rsid w:val="008245B2"/>
    <w:rsid w:val="0085452A"/>
    <w:rsid w:val="008613C4"/>
    <w:rsid w:val="00863889"/>
    <w:rsid w:val="00886F9B"/>
    <w:rsid w:val="00921942"/>
    <w:rsid w:val="009357EB"/>
    <w:rsid w:val="00991B68"/>
    <w:rsid w:val="009B1AF1"/>
    <w:rsid w:val="009E0990"/>
    <w:rsid w:val="00A05F0B"/>
    <w:rsid w:val="00A40D1B"/>
    <w:rsid w:val="00A41CE0"/>
    <w:rsid w:val="00A81E70"/>
    <w:rsid w:val="00A838FE"/>
    <w:rsid w:val="00A868A4"/>
    <w:rsid w:val="00AA322D"/>
    <w:rsid w:val="00AD52CB"/>
    <w:rsid w:val="00B020B1"/>
    <w:rsid w:val="00B460C4"/>
    <w:rsid w:val="00B54335"/>
    <w:rsid w:val="00B613F7"/>
    <w:rsid w:val="00BA219C"/>
    <w:rsid w:val="00BA2CD1"/>
    <w:rsid w:val="00BC5932"/>
    <w:rsid w:val="00C02987"/>
    <w:rsid w:val="00C1366B"/>
    <w:rsid w:val="00C13D20"/>
    <w:rsid w:val="00C15AF4"/>
    <w:rsid w:val="00C54BAF"/>
    <w:rsid w:val="00C74E88"/>
    <w:rsid w:val="00C75EF9"/>
    <w:rsid w:val="00CA078D"/>
    <w:rsid w:val="00CE77F6"/>
    <w:rsid w:val="00CF1F76"/>
    <w:rsid w:val="00D333A2"/>
    <w:rsid w:val="00D358A7"/>
    <w:rsid w:val="00D53433"/>
    <w:rsid w:val="00D57CF7"/>
    <w:rsid w:val="00D81C7C"/>
    <w:rsid w:val="00D835C0"/>
    <w:rsid w:val="00DD2329"/>
    <w:rsid w:val="00E423A3"/>
    <w:rsid w:val="00E84646"/>
    <w:rsid w:val="00EB2976"/>
    <w:rsid w:val="00EB7205"/>
    <w:rsid w:val="00ED4173"/>
    <w:rsid w:val="00EE5DB5"/>
    <w:rsid w:val="00F812D2"/>
    <w:rsid w:val="00F8436E"/>
    <w:rsid w:val="00F85DEF"/>
    <w:rsid w:val="00FA37A8"/>
    <w:rsid w:val="00FB03CB"/>
    <w:rsid w:val="00FC210B"/>
    <w:rsid w:val="00FC7D5C"/>
    <w:rsid w:val="00FD3EDF"/>
    <w:rsid w:val="00FE1126"/>
    <w:rsid w:val="00FE40EB"/>
    <w:rsid w:val="00FE6B1A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olatzka@madison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Nabídka BEV/PHEV</a:t>
            </a:r>
            <a:r>
              <a:rPr lang="cs-CZ" baseline="0"/>
              <a:t> TipCars.com - značky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5D-4908-9626-81B7177A04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5D-4908-9626-81B7177A04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5D-4908-9626-81B7177A04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5D-4908-9626-81B7177A04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5D-4908-9626-81B7177A04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5D-4908-9626-81B7177A042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D5D-4908-9626-81B7177A042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D5D-4908-9626-81B7177A042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List1!$B$2:$B$9</c:f>
              <c:strCache>
                <c:ptCount val="8"/>
                <c:pt idx="0">
                  <c:v>Toyota</c:v>
                </c:pt>
                <c:pt idx="1">
                  <c:v>BMW</c:v>
                </c:pt>
                <c:pt idx="2">
                  <c:v>Lexus</c:v>
                </c:pt>
                <c:pt idx="3">
                  <c:v>Ford</c:v>
                </c:pt>
                <c:pt idx="4">
                  <c:v>Volvo</c:v>
                </c:pt>
                <c:pt idx="5">
                  <c:v>Hyundai</c:v>
                </c:pt>
                <c:pt idx="6">
                  <c:v>Mercedes-Benz</c:v>
                </c:pt>
                <c:pt idx="7">
                  <c:v>Ostatní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850</c:v>
                </c:pt>
                <c:pt idx="1">
                  <c:v>448</c:v>
                </c:pt>
                <c:pt idx="2">
                  <c:v>235</c:v>
                </c:pt>
                <c:pt idx="3">
                  <c:v>204</c:v>
                </c:pt>
                <c:pt idx="4">
                  <c:v>158</c:v>
                </c:pt>
                <c:pt idx="5">
                  <c:v>154</c:v>
                </c:pt>
                <c:pt idx="6">
                  <c:v>142</c:v>
                </c:pt>
                <c:pt idx="7">
                  <c:v>1046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D5D-4908-9626-81B7177A04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Vyhledávání BEV/PHEV + odpočet DPH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1"/>
        <c:ser>
          <c:idx val="0"/>
          <c:order val="0"/>
          <c:tx>
            <c:strRef>
              <c:f>'Bod 5'!$L$57</c:f>
              <c:strCache>
                <c:ptCount val="1"/>
                <c:pt idx="0">
                  <c:v>Vyhledávání BEV + odpočet DPH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'Bod 5'!$A$33:$A$55</c:f>
              <c:numCache>
                <c:formatCode>yyyy/mm</c:formatCode>
                <c:ptCount val="23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 formatCode="yyyy/m">
                  <c:v>44835</c:v>
                </c:pt>
                <c:pt idx="10" formatCode="yyyy/m">
                  <c:v>44866</c:v>
                </c:pt>
                <c:pt idx="11" formatCode="yyyy/m">
                  <c:v>44896</c:v>
                </c:pt>
                <c:pt idx="12">
                  <c:v>44927</c:v>
                </c:pt>
                <c:pt idx="13">
                  <c:v>44958</c:v>
                </c:pt>
                <c:pt idx="14">
                  <c:v>44986</c:v>
                </c:pt>
                <c:pt idx="15">
                  <c:v>45017</c:v>
                </c:pt>
                <c:pt idx="16">
                  <c:v>45047</c:v>
                </c:pt>
                <c:pt idx="17">
                  <c:v>45078</c:v>
                </c:pt>
                <c:pt idx="18">
                  <c:v>45108</c:v>
                </c:pt>
                <c:pt idx="19">
                  <c:v>45139</c:v>
                </c:pt>
                <c:pt idx="20">
                  <c:v>45170</c:v>
                </c:pt>
                <c:pt idx="21" formatCode="yyyy/m">
                  <c:v>45200</c:v>
                </c:pt>
                <c:pt idx="22" formatCode="yyyy/m">
                  <c:v>45231</c:v>
                </c:pt>
              </c:numCache>
            </c:numRef>
          </c:cat>
          <c:val>
            <c:numRef>
              <c:f>'Bod 5'!$E$33:$E$55</c:f>
              <c:numCache>
                <c:formatCode>General</c:formatCode>
                <c:ptCount val="23"/>
                <c:pt idx="0">
                  <c:v>1022</c:v>
                </c:pt>
                <c:pt idx="1">
                  <c:v>842</c:v>
                </c:pt>
                <c:pt idx="2">
                  <c:v>1172</c:v>
                </c:pt>
                <c:pt idx="3">
                  <c:v>645</c:v>
                </c:pt>
                <c:pt idx="4">
                  <c:v>610</c:v>
                </c:pt>
                <c:pt idx="5">
                  <c:v>472</c:v>
                </c:pt>
                <c:pt idx="6">
                  <c:v>620</c:v>
                </c:pt>
                <c:pt idx="7">
                  <c:v>621</c:v>
                </c:pt>
                <c:pt idx="8">
                  <c:v>632</c:v>
                </c:pt>
                <c:pt idx="9">
                  <c:v>707</c:v>
                </c:pt>
                <c:pt idx="10">
                  <c:v>575</c:v>
                </c:pt>
                <c:pt idx="11">
                  <c:v>520</c:v>
                </c:pt>
                <c:pt idx="12">
                  <c:v>491</c:v>
                </c:pt>
                <c:pt idx="13">
                  <c:v>686</c:v>
                </c:pt>
                <c:pt idx="14">
                  <c:v>1027</c:v>
                </c:pt>
                <c:pt idx="15">
                  <c:v>1029</c:v>
                </c:pt>
                <c:pt idx="16">
                  <c:v>902</c:v>
                </c:pt>
                <c:pt idx="17">
                  <c:v>807</c:v>
                </c:pt>
                <c:pt idx="18">
                  <c:v>1000</c:v>
                </c:pt>
                <c:pt idx="19">
                  <c:v>1155</c:v>
                </c:pt>
                <c:pt idx="20">
                  <c:v>1176</c:v>
                </c:pt>
                <c:pt idx="21">
                  <c:v>1173</c:v>
                </c:pt>
                <c:pt idx="22">
                  <c:v>1799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93-47C9-AA40-29344F27497A}"/>
            </c:ext>
          </c:extLst>
        </c:ser>
        <c:ser>
          <c:idx val="1"/>
          <c:order val="1"/>
          <c:tx>
            <c:strRef>
              <c:f>'Bod 5'!$L$58</c:f>
              <c:strCache>
                <c:ptCount val="1"/>
                <c:pt idx="0">
                  <c:v>Vyhledávání PHEV + odpočet DPH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'Bod 5'!$A$33:$A$55</c:f>
              <c:numCache>
                <c:formatCode>yyyy/mm</c:formatCode>
                <c:ptCount val="23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 formatCode="yyyy/m">
                  <c:v>44835</c:v>
                </c:pt>
                <c:pt idx="10" formatCode="yyyy/m">
                  <c:v>44866</c:v>
                </c:pt>
                <c:pt idx="11" formatCode="yyyy/m">
                  <c:v>44896</c:v>
                </c:pt>
                <c:pt idx="12">
                  <c:v>44927</c:v>
                </c:pt>
                <c:pt idx="13">
                  <c:v>44958</c:v>
                </c:pt>
                <c:pt idx="14">
                  <c:v>44986</c:v>
                </c:pt>
                <c:pt idx="15">
                  <c:v>45017</c:v>
                </c:pt>
                <c:pt idx="16">
                  <c:v>45047</c:v>
                </c:pt>
                <c:pt idx="17">
                  <c:v>45078</c:v>
                </c:pt>
                <c:pt idx="18">
                  <c:v>45108</c:v>
                </c:pt>
                <c:pt idx="19">
                  <c:v>45139</c:v>
                </c:pt>
                <c:pt idx="20">
                  <c:v>45170</c:v>
                </c:pt>
                <c:pt idx="21" formatCode="yyyy/m">
                  <c:v>45200</c:v>
                </c:pt>
                <c:pt idx="22" formatCode="yyyy/m">
                  <c:v>45231</c:v>
                </c:pt>
              </c:numCache>
            </c:numRef>
          </c:cat>
          <c:val>
            <c:numRef>
              <c:f>'Bod 5'!$H$33:$H$55</c:f>
              <c:numCache>
                <c:formatCode>General</c:formatCode>
                <c:ptCount val="23"/>
                <c:pt idx="0">
                  <c:v>3692</c:v>
                </c:pt>
                <c:pt idx="1">
                  <c:v>2333</c:v>
                </c:pt>
                <c:pt idx="2">
                  <c:v>3164</c:v>
                </c:pt>
                <c:pt idx="3">
                  <c:v>2854</c:v>
                </c:pt>
                <c:pt idx="4">
                  <c:v>2604</c:v>
                </c:pt>
                <c:pt idx="5">
                  <c:v>2212</c:v>
                </c:pt>
                <c:pt idx="6">
                  <c:v>2268</c:v>
                </c:pt>
                <c:pt idx="7">
                  <c:v>2489</c:v>
                </c:pt>
                <c:pt idx="8">
                  <c:v>2823</c:v>
                </c:pt>
                <c:pt idx="9">
                  <c:v>3365</c:v>
                </c:pt>
                <c:pt idx="10">
                  <c:v>2875</c:v>
                </c:pt>
                <c:pt idx="11">
                  <c:v>3000</c:v>
                </c:pt>
                <c:pt idx="12">
                  <c:v>2701</c:v>
                </c:pt>
                <c:pt idx="13">
                  <c:v>3083</c:v>
                </c:pt>
                <c:pt idx="14">
                  <c:v>3093</c:v>
                </c:pt>
                <c:pt idx="15">
                  <c:v>2651</c:v>
                </c:pt>
                <c:pt idx="16">
                  <c:v>2950</c:v>
                </c:pt>
                <c:pt idx="17">
                  <c:v>2873</c:v>
                </c:pt>
                <c:pt idx="18">
                  <c:v>2872</c:v>
                </c:pt>
                <c:pt idx="19">
                  <c:v>3427</c:v>
                </c:pt>
                <c:pt idx="20">
                  <c:v>3397</c:v>
                </c:pt>
                <c:pt idx="21">
                  <c:v>4507</c:v>
                </c:pt>
                <c:pt idx="22">
                  <c:v>4918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93-47C9-AA40-29344F2749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86826300"/>
        <c:axId val="1559824647"/>
      </c:lineChart>
      <c:dateAx>
        <c:axId val="1086826300"/>
        <c:scaling>
          <c:orientation val="minMax"/>
        </c:scaling>
        <c:delete val="0"/>
        <c:axPos val="b"/>
        <c:numFmt formatCode="yyyy/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59824647"/>
        <c:crosses val="autoZero"/>
        <c:auto val="1"/>
        <c:lblOffset val="100"/>
        <c:baseTimeUnit val="months"/>
      </c:dateAx>
      <c:valAx>
        <c:axId val="1559824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868263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miter lim="800000"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2023-12-20T06:40:00Z</dcterms:created>
  <dcterms:modified xsi:type="dcterms:W3CDTF">2023-12-20T06:40:00Z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