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34CD0EEB" w14:textId="5CF1C8DC" w:rsidR="000E5F78" w:rsidRDefault="000E5F78" w:rsidP="000F3681">
      <w:pPr>
        <w:spacing w:after="120" w:line="276" w:lineRule="auto"/>
        <w:ind w:left="360"/>
        <w:jc w:val="center"/>
        <w:rPr>
          <w:b/>
          <w:bCs/>
          <w:color w:val="00B0F0"/>
          <w:sz w:val="36"/>
          <w:szCs w:val="36"/>
        </w:rPr>
      </w:pPr>
      <w:r w:rsidRPr="00A60848">
        <w:rPr>
          <w:b/>
          <w:bCs/>
          <w:color w:val="00B0F0"/>
          <w:sz w:val="36"/>
          <w:szCs w:val="36"/>
        </w:rPr>
        <w:t>Nejasná historie</w:t>
      </w:r>
      <w:r w:rsidR="00680877">
        <w:rPr>
          <w:b/>
          <w:bCs/>
          <w:color w:val="00B0F0"/>
          <w:sz w:val="36"/>
          <w:szCs w:val="36"/>
        </w:rPr>
        <w:t>,</w:t>
      </w:r>
      <w:r w:rsidRPr="00A60848">
        <w:rPr>
          <w:b/>
          <w:bCs/>
          <w:color w:val="00B0F0"/>
          <w:sz w:val="36"/>
          <w:szCs w:val="36"/>
        </w:rPr>
        <w:t xml:space="preserve"> nebo stočené kilometry?</w:t>
      </w:r>
    </w:p>
    <w:p w14:paraId="10C2B4D1" w14:textId="6B9ECB9B" w:rsidR="002718EC" w:rsidRPr="00A65754" w:rsidRDefault="00086F77" w:rsidP="00D52ED3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trhu </w:t>
      </w:r>
      <w:r w:rsidR="00E93ABC">
        <w:rPr>
          <w:rFonts w:ascii="Arial" w:hAnsi="Arial" w:cs="Arial"/>
          <w:b/>
          <w:bCs/>
        </w:rPr>
        <w:t xml:space="preserve">lze pozorovat </w:t>
      </w:r>
      <w:r>
        <w:rPr>
          <w:rFonts w:ascii="Arial" w:hAnsi="Arial" w:cs="Arial"/>
          <w:b/>
          <w:bCs/>
        </w:rPr>
        <w:t>meziročn</w:t>
      </w:r>
      <w:r w:rsidR="00E93ABC">
        <w:rPr>
          <w:rFonts w:ascii="Arial" w:hAnsi="Arial" w:cs="Arial"/>
          <w:b/>
          <w:bCs/>
        </w:rPr>
        <w:t>í úbytek aut s atypicky nízkým nájezdem</w:t>
      </w:r>
      <w:r w:rsidR="00480A74">
        <w:rPr>
          <w:rFonts w:ascii="Arial" w:hAnsi="Arial" w:cs="Arial"/>
          <w:b/>
          <w:bCs/>
        </w:rPr>
        <w:t>.</w:t>
      </w:r>
    </w:p>
    <w:p w14:paraId="346582BD" w14:textId="45F5EBF3" w:rsidR="00642059" w:rsidRDefault="00BC3EE1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Celkový stav </w:t>
      </w:r>
      <w:r w:rsidR="00517853">
        <w:rPr>
          <w:rFonts w:ascii="Arial" w:hAnsi="Arial" w:cs="Arial"/>
          <w:b/>
          <w:bCs/>
        </w:rPr>
        <w:t xml:space="preserve">vozu je důležitější než </w:t>
      </w:r>
      <w:r w:rsidR="00480A74">
        <w:rPr>
          <w:rFonts w:ascii="Arial" w:hAnsi="Arial" w:cs="Arial"/>
          <w:b/>
          <w:bCs/>
        </w:rPr>
        <w:t>minimální nájezd.</w:t>
      </w:r>
    </w:p>
    <w:p w14:paraId="03554E83" w14:textId="06699FD3" w:rsidR="00642059" w:rsidRPr="00BE335A" w:rsidRDefault="00B04549" w:rsidP="00BE335A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Průměrná Dacia </w:t>
      </w:r>
      <w:proofErr w:type="spellStart"/>
      <w:r>
        <w:rPr>
          <w:rFonts w:ascii="Arial" w:hAnsi="Arial" w:cs="Arial"/>
          <w:b/>
          <w:bCs/>
        </w:rPr>
        <w:t>Sandero</w:t>
      </w:r>
      <w:proofErr w:type="spellEnd"/>
      <w:r>
        <w:rPr>
          <w:rFonts w:ascii="Arial" w:hAnsi="Arial" w:cs="Arial"/>
          <w:b/>
          <w:bCs/>
        </w:rPr>
        <w:t xml:space="preserve"> najede 8 000 km ročně, Octavia </w:t>
      </w:r>
      <w:proofErr w:type="spellStart"/>
      <w:r>
        <w:rPr>
          <w:rFonts w:ascii="Arial" w:hAnsi="Arial" w:cs="Arial"/>
          <w:b/>
          <w:bCs/>
        </w:rPr>
        <w:t>Combi</w:t>
      </w:r>
      <w:proofErr w:type="spellEnd"/>
      <w:r>
        <w:rPr>
          <w:rFonts w:ascii="Arial" w:hAnsi="Arial" w:cs="Arial"/>
          <w:b/>
          <w:bCs/>
        </w:rPr>
        <w:t xml:space="preserve"> skoro </w:t>
      </w:r>
      <w:r w:rsidR="00BB5650">
        <w:rPr>
          <w:rFonts w:ascii="Arial" w:hAnsi="Arial" w:cs="Arial"/>
          <w:b/>
          <w:bCs/>
        </w:rPr>
        <w:t>4krát tolik</w:t>
      </w:r>
      <w:r w:rsidR="00480A74">
        <w:rPr>
          <w:rFonts w:ascii="Arial" w:hAnsi="Arial" w:cs="Arial"/>
          <w:b/>
          <w:bCs/>
        </w:rPr>
        <w:t>.</w:t>
      </w:r>
    </w:p>
    <w:p w14:paraId="314F2388" w14:textId="24EF84EE" w:rsidR="001152AC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AB0104">
        <w:rPr>
          <w:rFonts w:ascii="Arial" w:hAnsi="Arial" w:cs="Arial"/>
          <w:b/>
          <w:bCs/>
        </w:rPr>
        <w:t xml:space="preserve">Praha, </w:t>
      </w:r>
      <w:r w:rsidR="00F125A7">
        <w:rPr>
          <w:rFonts w:ascii="Arial" w:hAnsi="Arial" w:cs="Arial"/>
          <w:b/>
          <w:bCs/>
        </w:rPr>
        <w:t>2</w:t>
      </w:r>
      <w:r w:rsidR="00A60848">
        <w:rPr>
          <w:rFonts w:ascii="Arial" w:hAnsi="Arial" w:cs="Arial"/>
          <w:b/>
          <w:bCs/>
        </w:rPr>
        <w:t>3</w:t>
      </w:r>
      <w:r w:rsidRPr="00AB0104">
        <w:rPr>
          <w:rFonts w:ascii="Arial" w:hAnsi="Arial" w:cs="Arial"/>
          <w:b/>
          <w:bCs/>
        </w:rPr>
        <w:t xml:space="preserve">. </w:t>
      </w:r>
      <w:r w:rsidR="00B96F28">
        <w:rPr>
          <w:rFonts w:ascii="Arial" w:hAnsi="Arial" w:cs="Arial"/>
          <w:b/>
          <w:bCs/>
        </w:rPr>
        <w:t>5</w:t>
      </w:r>
      <w:r w:rsidRPr="00AB0104">
        <w:rPr>
          <w:rFonts w:ascii="Arial" w:hAnsi="Arial" w:cs="Arial"/>
          <w:b/>
          <w:bCs/>
        </w:rPr>
        <w:t xml:space="preserve">. 2024 – </w:t>
      </w:r>
      <w:r w:rsidR="001B17E7" w:rsidRPr="001B17E7">
        <w:rPr>
          <w:rFonts w:ascii="Arial" w:hAnsi="Arial" w:cs="Arial"/>
          <w:b/>
          <w:bCs/>
        </w:rPr>
        <w:t xml:space="preserve">Manipulace s tachometrem je v Česku nezákonná od roku 2018. </w:t>
      </w:r>
      <w:r w:rsidR="001B17E7" w:rsidRPr="00212FB8">
        <w:rPr>
          <w:rFonts w:ascii="Arial" w:hAnsi="Arial" w:cs="Arial"/>
          <w:b/>
          <w:bCs/>
        </w:rPr>
        <w:t>Přesto má podle kvalifikovaných odhadů zhruba každé 5. auto prodávané</w:t>
      </w:r>
      <w:r w:rsidR="001B17E7" w:rsidRPr="001B17E7">
        <w:rPr>
          <w:rFonts w:ascii="Arial" w:hAnsi="Arial" w:cs="Arial"/>
          <w:b/>
          <w:bCs/>
        </w:rPr>
        <w:t xml:space="preserve"> u nás stočený tachometr. Zanedbaná údržba je přitom mnohem vážnějším problémem než nájezd. Situace na trhu ojetin ovšem </w:t>
      </w:r>
      <w:r w:rsidR="001B17E7" w:rsidRPr="000111BC">
        <w:rPr>
          <w:rFonts w:ascii="Arial" w:hAnsi="Arial" w:cs="Arial"/>
          <w:b/>
          <w:bCs/>
        </w:rPr>
        <w:t xml:space="preserve">signalizuje, že Češi se začali řídit radami odborníků. </w:t>
      </w:r>
      <w:proofErr w:type="gramStart"/>
      <w:r w:rsidR="001B17E7" w:rsidRPr="000111BC">
        <w:rPr>
          <w:rFonts w:ascii="Arial" w:hAnsi="Arial" w:cs="Arial"/>
          <w:b/>
          <w:bCs/>
        </w:rPr>
        <w:t>Spíš</w:t>
      </w:r>
      <w:r w:rsidR="00EC52FE" w:rsidRPr="000111BC">
        <w:rPr>
          <w:rFonts w:ascii="Arial" w:hAnsi="Arial" w:cs="Arial"/>
          <w:b/>
          <w:bCs/>
        </w:rPr>
        <w:t>e</w:t>
      </w:r>
      <w:proofErr w:type="gramEnd"/>
      <w:r w:rsidR="00A60848" w:rsidRPr="000111BC">
        <w:rPr>
          <w:rFonts w:ascii="Arial" w:hAnsi="Arial" w:cs="Arial"/>
          <w:b/>
          <w:bCs/>
        </w:rPr>
        <w:t xml:space="preserve"> </w:t>
      </w:r>
      <w:r w:rsidR="001B17E7" w:rsidRPr="000111BC">
        <w:rPr>
          <w:rFonts w:ascii="Arial" w:hAnsi="Arial" w:cs="Arial"/>
          <w:b/>
          <w:bCs/>
        </w:rPr>
        <w:t>než nízké kilometry řeší celkový stav vozu</w:t>
      </w:r>
      <w:r w:rsidR="00332F41" w:rsidRPr="000111BC">
        <w:rPr>
          <w:rFonts w:ascii="Arial" w:hAnsi="Arial" w:cs="Arial"/>
          <w:b/>
          <w:bCs/>
        </w:rPr>
        <w:t>. Tomu odpovídá situace na trhu.</w:t>
      </w:r>
      <w:r w:rsidR="00480A74" w:rsidRPr="000111BC">
        <w:rPr>
          <w:rFonts w:ascii="Arial" w:hAnsi="Arial" w:cs="Arial"/>
          <w:b/>
          <w:bCs/>
        </w:rPr>
        <w:t xml:space="preserve"> </w:t>
      </w:r>
      <w:r w:rsidR="00332F41" w:rsidRPr="000111BC">
        <w:rPr>
          <w:rFonts w:ascii="Arial" w:hAnsi="Arial" w:cs="Arial"/>
          <w:b/>
          <w:bCs/>
        </w:rPr>
        <w:t>P</w:t>
      </w:r>
      <w:r w:rsidR="00480A74" w:rsidRPr="000111BC">
        <w:rPr>
          <w:rFonts w:ascii="Arial" w:hAnsi="Arial" w:cs="Arial"/>
          <w:b/>
          <w:bCs/>
        </w:rPr>
        <w:t xml:space="preserve">očet nabízených ojetých aut s vyšším nájezdem meziročně stoupl. </w:t>
      </w:r>
      <w:r w:rsidR="001B17E7" w:rsidRPr="000111BC">
        <w:rPr>
          <w:rFonts w:ascii="Arial" w:hAnsi="Arial" w:cs="Arial"/>
          <w:b/>
          <w:bCs/>
        </w:rPr>
        <w:t xml:space="preserve">Zatímco loni mělo pouze 34 % pětiletých Superbů </w:t>
      </w:r>
      <w:proofErr w:type="spellStart"/>
      <w:r w:rsidR="001B17E7" w:rsidRPr="000111BC">
        <w:rPr>
          <w:rFonts w:ascii="Arial" w:hAnsi="Arial" w:cs="Arial"/>
          <w:b/>
          <w:bCs/>
        </w:rPr>
        <w:t>Combi</w:t>
      </w:r>
      <w:proofErr w:type="spellEnd"/>
      <w:r w:rsidR="001B17E7" w:rsidRPr="000111BC">
        <w:rPr>
          <w:rFonts w:ascii="Arial" w:hAnsi="Arial" w:cs="Arial"/>
          <w:b/>
          <w:bCs/>
        </w:rPr>
        <w:t xml:space="preserve"> nájezd vyšší než 160 000 km, letos je to již 60 %. Naopak klesnul podíl aut s atypicky nízkým ročním proběhem. Tolerance k vyššímu</w:t>
      </w:r>
      <w:r w:rsidR="001B17E7" w:rsidRPr="001B17E7">
        <w:rPr>
          <w:rFonts w:ascii="Arial" w:hAnsi="Arial" w:cs="Arial"/>
          <w:b/>
          <w:bCs/>
        </w:rPr>
        <w:t xml:space="preserve"> nájezdu je patrná i u modelů jako Fabia </w:t>
      </w:r>
      <w:proofErr w:type="spellStart"/>
      <w:r w:rsidR="001B17E7" w:rsidRPr="001B17E7">
        <w:rPr>
          <w:rFonts w:ascii="Arial" w:hAnsi="Arial" w:cs="Arial"/>
          <w:b/>
          <w:bCs/>
        </w:rPr>
        <w:t>Combi</w:t>
      </w:r>
      <w:proofErr w:type="spellEnd"/>
      <w:r w:rsidR="001B17E7" w:rsidRPr="001B17E7">
        <w:rPr>
          <w:rFonts w:ascii="Arial" w:hAnsi="Arial" w:cs="Arial"/>
          <w:b/>
          <w:bCs/>
        </w:rPr>
        <w:t xml:space="preserve"> nebo Hyundai i30. Vyplývá to z analýzy serveru TipCars.com.</w:t>
      </w:r>
    </w:p>
    <w:p w14:paraId="1DED6AAA" w14:textId="2296C08B" w:rsidR="00023729" w:rsidRPr="00480A74" w:rsidRDefault="00480A74" w:rsidP="00023729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23729" w:rsidRPr="00480A74">
        <w:rPr>
          <w:rFonts w:ascii="Arial" w:hAnsi="Arial" w:cs="Arial"/>
        </w:rPr>
        <w:t>táčení je</w:t>
      </w:r>
      <w:r>
        <w:rPr>
          <w:rFonts w:ascii="Arial" w:hAnsi="Arial" w:cs="Arial"/>
        </w:rPr>
        <w:t xml:space="preserve"> v dnešní době moderních vychytávek</w:t>
      </w:r>
      <w:r w:rsidR="00023729" w:rsidRPr="00480A74">
        <w:rPr>
          <w:rFonts w:ascii="Arial" w:hAnsi="Arial" w:cs="Arial"/>
        </w:rPr>
        <w:t xml:space="preserve"> teoreticky velmi obtížné. Přesto k němu dochází. Problematice nepomáhá ani přechod na elektronický velký technický průkaz. Zatímco v papírovém byla hned vidět historie vozu, v digitálním se zájemce o koupi informace o předchozích majitelích nedozví. </w:t>
      </w:r>
    </w:p>
    <w:p w14:paraId="7EFBE616" w14:textId="71D2090A" w:rsidR="00023729" w:rsidRPr="00023729" w:rsidRDefault="00023729" w:rsidP="00023729">
      <w:pPr>
        <w:spacing w:after="120" w:line="276" w:lineRule="auto"/>
        <w:jc w:val="both"/>
        <w:rPr>
          <w:rFonts w:ascii="Arial" w:hAnsi="Arial" w:cs="Arial"/>
        </w:rPr>
      </w:pPr>
      <w:r w:rsidRPr="00023729">
        <w:rPr>
          <w:rFonts w:ascii="Arial" w:hAnsi="Arial" w:cs="Arial"/>
        </w:rPr>
        <w:t xml:space="preserve">Odborníci proto radí oželet nízké kilometry ve prospěch prokazatelné servisní historie. </w:t>
      </w:r>
      <w:r w:rsidRPr="00023729">
        <w:rPr>
          <w:rFonts w:ascii="Arial" w:hAnsi="Arial" w:cs="Arial"/>
          <w:i/>
          <w:iCs/>
        </w:rPr>
        <w:t>„Kde je poptávka, je i nabídka. Dokud tady budou zákazníci ochotní uvěřit legendě o autě po německém důchodci, budou zde i nepoctivci schopní takové auto vyrobit,“</w:t>
      </w:r>
      <w:r w:rsidRPr="00023729">
        <w:rPr>
          <w:rFonts w:ascii="Arial" w:hAnsi="Arial" w:cs="Arial"/>
        </w:rPr>
        <w:t xml:space="preserve"> říká Ing. Marek Knieža z TipCars.com. </w:t>
      </w:r>
      <w:r w:rsidRPr="00023729">
        <w:rPr>
          <w:rFonts w:ascii="Arial" w:hAnsi="Arial" w:cs="Arial"/>
          <w:i/>
          <w:iCs/>
        </w:rPr>
        <w:t>„Přístup českých řidičů se ale mění. Obecně vnímáme, že zájemci o ojetiny se učí přihlížet k celkovému stavu auta než pouze k čísle na tachometru.“</w:t>
      </w:r>
    </w:p>
    <w:p w14:paraId="21D7C22C" w14:textId="501BCC46" w:rsidR="00023729" w:rsidRPr="00023729" w:rsidRDefault="00744595" w:rsidP="00023729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23729" w:rsidRPr="00023729">
        <w:rPr>
          <w:rFonts w:ascii="Arial" w:hAnsi="Arial" w:cs="Arial"/>
        </w:rPr>
        <w:t>chota lidí kupovat auta s vyšším nájezdem</w:t>
      </w:r>
      <w:r>
        <w:rPr>
          <w:rFonts w:ascii="Arial" w:hAnsi="Arial" w:cs="Arial"/>
        </w:rPr>
        <w:t xml:space="preserve"> z</w:t>
      </w:r>
      <w:r w:rsidR="00023729" w:rsidRPr="00023729">
        <w:rPr>
          <w:rFonts w:ascii="Arial" w:hAnsi="Arial" w:cs="Arial"/>
        </w:rPr>
        <w:t xml:space="preserve">vyšuje také jejich podíl v nabídce. Znatelná je změna u pětiletých ojetin typických firemních vozů. Zatímco Superby </w:t>
      </w:r>
      <w:proofErr w:type="spellStart"/>
      <w:r w:rsidR="00023729" w:rsidRPr="00023729">
        <w:rPr>
          <w:rFonts w:ascii="Arial" w:hAnsi="Arial" w:cs="Arial"/>
        </w:rPr>
        <w:t>Combi</w:t>
      </w:r>
      <w:proofErr w:type="spellEnd"/>
      <w:r w:rsidR="00023729" w:rsidRPr="00023729">
        <w:rPr>
          <w:rFonts w:ascii="Arial" w:hAnsi="Arial" w:cs="Arial"/>
        </w:rPr>
        <w:t xml:space="preserve"> s motory 2,0 TDI měly </w:t>
      </w:r>
      <w:r>
        <w:rPr>
          <w:rFonts w:ascii="Arial" w:hAnsi="Arial" w:cs="Arial"/>
        </w:rPr>
        <w:t xml:space="preserve">před rokem </w:t>
      </w:r>
      <w:r w:rsidR="00023729" w:rsidRPr="00023729">
        <w:rPr>
          <w:rFonts w:ascii="Arial" w:hAnsi="Arial" w:cs="Arial"/>
        </w:rPr>
        <w:t xml:space="preserve">nájezd nad 160 000 km v pouhých 34 % inzerátů, letos je jich 60 %. U modelu Octavia </w:t>
      </w:r>
      <w:proofErr w:type="spellStart"/>
      <w:r w:rsidR="00023729" w:rsidRPr="00023729">
        <w:rPr>
          <w:rFonts w:ascii="Arial" w:hAnsi="Arial" w:cs="Arial"/>
        </w:rPr>
        <w:t>Combi</w:t>
      </w:r>
      <w:proofErr w:type="spellEnd"/>
      <w:r w:rsidR="00023729" w:rsidRPr="00023729">
        <w:rPr>
          <w:rFonts w:ascii="Arial" w:hAnsi="Arial" w:cs="Arial"/>
        </w:rPr>
        <w:t xml:space="preserve"> 1,6 TDI se jednalo o nárůst z 29 % na 34 %. Podobně se měnil podíl také u naftových kombi Audi A6 </w:t>
      </w:r>
      <w:proofErr w:type="spellStart"/>
      <w:r w:rsidR="00023729" w:rsidRPr="00023729">
        <w:rPr>
          <w:rFonts w:ascii="Arial" w:hAnsi="Arial" w:cs="Arial"/>
        </w:rPr>
        <w:t>Avant</w:t>
      </w:r>
      <w:proofErr w:type="spellEnd"/>
      <w:r w:rsidR="00023729" w:rsidRPr="00023729">
        <w:rPr>
          <w:rFonts w:ascii="Arial" w:hAnsi="Arial" w:cs="Arial"/>
        </w:rPr>
        <w:t xml:space="preserve"> (5 % vs 13 %) nebo Mercedesu třídy E (21% vs 29%). Volkswagen Passat Variant 2,0 TDI vykázal v kategorii na 160 tisíc kilometrů změnu z 23 % na 27 %. </w:t>
      </w:r>
    </w:p>
    <w:p w14:paraId="3C62D7D4" w14:textId="6D198016" w:rsidR="0077023F" w:rsidRPr="00023729" w:rsidRDefault="00D24B26" w:rsidP="00023729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je také patrná z</w:t>
      </w:r>
      <w:r w:rsidR="00023729" w:rsidRPr="00023729">
        <w:rPr>
          <w:rFonts w:ascii="Arial" w:hAnsi="Arial" w:cs="Arial"/>
        </w:rPr>
        <w:t>měna v oblasti aut s nájezdem do pouhých 20 000 km za rok. U Passatu se podíl snížil z 31 % na 22 %. Mercedes-Benz E vykázal změnu z 41 % na 32 %, pokles o 7 % na letošních 48 % pak prodělalo Audi Q7.</w:t>
      </w:r>
      <w:r w:rsidR="00A20F9D">
        <w:rPr>
          <w:rFonts w:ascii="Arial" w:hAnsi="Arial" w:cs="Arial"/>
        </w:rPr>
        <w:t xml:space="preserve"> V nabídce malého kombi Škoda Fabia s benzinovým tříválcem o výkonu 55 kW je letos o 13 % méně aut s ročním nájezdem do pouhých 10 000 km, tj. podíl mají jednu třetinu. </w:t>
      </w:r>
      <w:r w:rsidR="00C631E5">
        <w:rPr>
          <w:rFonts w:ascii="Arial" w:hAnsi="Arial" w:cs="Arial"/>
        </w:rPr>
        <w:t xml:space="preserve">Naopak </w:t>
      </w:r>
      <w:r w:rsidR="00EC52FE">
        <w:rPr>
          <w:rFonts w:ascii="Arial" w:hAnsi="Arial" w:cs="Arial"/>
        </w:rPr>
        <w:t>aut</w:t>
      </w:r>
      <w:r w:rsidR="00C631E5">
        <w:rPr>
          <w:rFonts w:ascii="Arial" w:hAnsi="Arial" w:cs="Arial"/>
        </w:rPr>
        <w:t>, co si každý rok na tachometr připsaly víc než 20 000 km je nyní 21 %, tedy o 15 % více.</w:t>
      </w:r>
      <w:r w:rsidR="00ED6A6F">
        <w:rPr>
          <w:rFonts w:ascii="Arial" w:hAnsi="Arial" w:cs="Arial"/>
        </w:rPr>
        <w:t xml:space="preserve"> </w:t>
      </w:r>
    </w:p>
    <w:p w14:paraId="1437B368" w14:textId="5694352A" w:rsidR="005E4D36" w:rsidRPr="005E4D36" w:rsidRDefault="0077023F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77023F">
        <w:rPr>
          <w:rFonts w:ascii="Arial" w:hAnsi="Arial" w:cs="Arial"/>
          <w:b/>
          <w:bCs/>
        </w:rPr>
        <w:t>Auto po důchodci není mýtus, ale…</w:t>
      </w:r>
    </w:p>
    <w:p w14:paraId="71138BD6" w14:textId="7E2447BA" w:rsidR="00C21525" w:rsidRPr="00C21525" w:rsidRDefault="00C21525" w:rsidP="00C21525">
      <w:pPr>
        <w:spacing w:after="120" w:line="276" w:lineRule="auto"/>
        <w:jc w:val="both"/>
        <w:rPr>
          <w:rFonts w:ascii="Arial" w:hAnsi="Arial" w:cs="Arial"/>
        </w:rPr>
      </w:pPr>
      <w:r w:rsidRPr="00C21525">
        <w:rPr>
          <w:rFonts w:ascii="Arial" w:hAnsi="Arial" w:cs="Arial"/>
          <w:i/>
          <w:iCs/>
        </w:rPr>
        <w:t xml:space="preserve">„Auta po důchodcích skutečně existují,“ </w:t>
      </w:r>
      <w:r w:rsidRPr="00C21525">
        <w:rPr>
          <w:rFonts w:ascii="Arial" w:hAnsi="Arial" w:cs="Arial"/>
        </w:rPr>
        <w:t xml:space="preserve">říká Ing. Marek Knieža. </w:t>
      </w:r>
      <w:r w:rsidRPr="00C21525">
        <w:rPr>
          <w:rFonts w:ascii="Arial" w:hAnsi="Arial" w:cs="Arial"/>
          <w:i/>
          <w:iCs/>
        </w:rPr>
        <w:t xml:space="preserve">„Typicky jsou to malé vozy typu Hyundai i20 nebo Dacia </w:t>
      </w:r>
      <w:proofErr w:type="spellStart"/>
      <w:r w:rsidRPr="00C21525">
        <w:rPr>
          <w:rFonts w:ascii="Arial" w:hAnsi="Arial" w:cs="Arial"/>
          <w:i/>
          <w:iCs/>
        </w:rPr>
        <w:t>Sandero</w:t>
      </w:r>
      <w:proofErr w:type="spellEnd"/>
      <w:r w:rsidRPr="00C21525">
        <w:rPr>
          <w:rFonts w:ascii="Arial" w:hAnsi="Arial" w:cs="Arial"/>
          <w:i/>
          <w:iCs/>
        </w:rPr>
        <w:t xml:space="preserve">, které si někdo koupil jako své tzv. poslední auto. Plánuje, že s ním nebude moc jezdit a vydrží mu třeba 10 let. Tady roční nájezd může být </w:t>
      </w:r>
      <w:r w:rsidRPr="00C21525">
        <w:rPr>
          <w:rFonts w:ascii="Arial" w:hAnsi="Arial" w:cs="Arial"/>
          <w:i/>
          <w:iCs/>
        </w:rPr>
        <w:lastRenderedPageBreak/>
        <w:t>klidně 4 000 km. Ovšem taková auta se na trh nedostávají často.“</w:t>
      </w:r>
      <w:r w:rsidRPr="00C21525">
        <w:rPr>
          <w:rFonts w:ascii="Arial" w:hAnsi="Arial" w:cs="Arial"/>
        </w:rPr>
        <w:t xml:space="preserve"> Aby si někdo koupil jako „poslední auto“ třeba Škodu Superb za milion není v českém prostředí nereálné, ale ani příliš časté. Na západ od našich hranic je to běžnější, ale </w:t>
      </w:r>
      <w:r w:rsidR="00E7324F">
        <w:rPr>
          <w:rFonts w:ascii="Arial" w:hAnsi="Arial" w:cs="Arial"/>
        </w:rPr>
        <w:t>takovému stavu a nájezdu bude odpovídat cena</w:t>
      </w:r>
      <w:r w:rsidRPr="00C21525">
        <w:rPr>
          <w:rFonts w:ascii="Arial" w:hAnsi="Arial" w:cs="Arial"/>
        </w:rPr>
        <w:t>.</w:t>
      </w:r>
    </w:p>
    <w:p w14:paraId="14109CA1" w14:textId="01F0295A" w:rsidR="00C21525" w:rsidRPr="00C21525" w:rsidRDefault="00C21525" w:rsidP="00C21525">
      <w:pPr>
        <w:spacing w:after="120" w:line="276" w:lineRule="auto"/>
        <w:jc w:val="both"/>
        <w:rPr>
          <w:rFonts w:ascii="Arial" w:hAnsi="Arial" w:cs="Arial"/>
        </w:rPr>
      </w:pPr>
      <w:r w:rsidRPr="00C21525">
        <w:rPr>
          <w:rFonts w:ascii="Arial" w:hAnsi="Arial" w:cs="Arial"/>
        </w:rPr>
        <w:t>Statistika na trhu ojetin ukazuje, že průměrné roční nájezdy se u malých aut pohybují kolem 8</w:t>
      </w:r>
      <w:r w:rsidR="00A75287">
        <w:rPr>
          <w:rFonts w:ascii="Arial" w:hAnsi="Arial" w:cs="Arial"/>
        </w:rPr>
        <w:t> </w:t>
      </w:r>
      <w:r w:rsidRPr="00C21525">
        <w:rPr>
          <w:rFonts w:ascii="Arial" w:hAnsi="Arial" w:cs="Arial"/>
        </w:rPr>
        <w:t xml:space="preserve">000 km. To jsou hodnoty právě modelů Hyundai i20 a Dacia </w:t>
      </w:r>
      <w:proofErr w:type="spellStart"/>
      <w:r w:rsidRPr="00C21525">
        <w:rPr>
          <w:rFonts w:ascii="Arial" w:hAnsi="Arial" w:cs="Arial"/>
        </w:rPr>
        <w:t>Sandero</w:t>
      </w:r>
      <w:proofErr w:type="spellEnd"/>
      <w:r w:rsidRPr="00C21525">
        <w:rPr>
          <w:rFonts w:ascii="Arial" w:hAnsi="Arial" w:cs="Arial"/>
        </w:rPr>
        <w:t>, které budou mít po pěti letech na tachometru něco přes 40 000 km. O něco více, zhruba 14 000 km za rok, musí očekávat zájemce o kombi Škoda Fabia s benzinovým tříválce</w:t>
      </w:r>
      <w:r w:rsidR="00221F1E">
        <w:rPr>
          <w:rFonts w:ascii="Arial" w:hAnsi="Arial" w:cs="Arial"/>
        </w:rPr>
        <w:t>m</w:t>
      </w:r>
      <w:r w:rsidRPr="00C21525">
        <w:rPr>
          <w:rFonts w:ascii="Arial" w:hAnsi="Arial" w:cs="Arial"/>
        </w:rPr>
        <w:t xml:space="preserve"> 1,0 MPI/55 kW. Benzinový Hyundai i30 kombi pak bude </w:t>
      </w:r>
      <w:r w:rsidR="00221F1E">
        <w:rPr>
          <w:rFonts w:ascii="Arial" w:hAnsi="Arial" w:cs="Arial"/>
        </w:rPr>
        <w:t xml:space="preserve">ročně připisovat </w:t>
      </w:r>
      <w:r w:rsidRPr="00C21525">
        <w:rPr>
          <w:rFonts w:ascii="Arial" w:hAnsi="Arial" w:cs="Arial"/>
        </w:rPr>
        <w:t>necelých 13 000 km.</w:t>
      </w:r>
    </w:p>
    <w:p w14:paraId="4A8BB084" w14:textId="5AAB9883" w:rsidR="00C21525" w:rsidRDefault="00C21525" w:rsidP="00C21525">
      <w:pPr>
        <w:spacing w:after="120" w:line="276" w:lineRule="auto"/>
        <w:jc w:val="both"/>
        <w:rPr>
          <w:rFonts w:ascii="Arial" w:hAnsi="Arial" w:cs="Arial"/>
        </w:rPr>
      </w:pPr>
      <w:r w:rsidRPr="00C21525">
        <w:rPr>
          <w:rFonts w:ascii="Arial" w:hAnsi="Arial" w:cs="Arial"/>
        </w:rPr>
        <w:t xml:space="preserve">U aut z firemních flotil jsou průměry vyšší než u malých soukromých vozů. Ojetá Octavia </w:t>
      </w:r>
      <w:proofErr w:type="spellStart"/>
      <w:r w:rsidRPr="00C21525">
        <w:rPr>
          <w:rFonts w:ascii="Arial" w:hAnsi="Arial" w:cs="Arial"/>
        </w:rPr>
        <w:t>Combi</w:t>
      </w:r>
      <w:proofErr w:type="spellEnd"/>
      <w:r w:rsidRPr="00C21525">
        <w:rPr>
          <w:rFonts w:ascii="Arial" w:hAnsi="Arial" w:cs="Arial"/>
        </w:rPr>
        <w:t xml:space="preserve"> 1,6 TDI bude mít</w:t>
      </w:r>
      <w:r w:rsidR="005B3EA8">
        <w:rPr>
          <w:rFonts w:ascii="Arial" w:hAnsi="Arial" w:cs="Arial"/>
        </w:rPr>
        <w:t xml:space="preserve"> přes</w:t>
      </w:r>
      <w:r w:rsidRPr="00C21525">
        <w:rPr>
          <w:rFonts w:ascii="Arial" w:hAnsi="Arial" w:cs="Arial"/>
        </w:rPr>
        <w:t xml:space="preserve"> 28 000 km, Superb </w:t>
      </w:r>
      <w:proofErr w:type="spellStart"/>
      <w:r w:rsidRPr="00C21525">
        <w:rPr>
          <w:rFonts w:ascii="Arial" w:hAnsi="Arial" w:cs="Arial"/>
        </w:rPr>
        <w:t>Combi</w:t>
      </w:r>
      <w:proofErr w:type="spellEnd"/>
      <w:r w:rsidRPr="00C21525">
        <w:rPr>
          <w:rFonts w:ascii="Arial" w:hAnsi="Arial" w:cs="Arial"/>
        </w:rPr>
        <w:t xml:space="preserve"> 2,0 TDI ještě o 1 000 km víc. Jen o trochu méně má </w:t>
      </w:r>
      <w:r w:rsidR="001A29C6">
        <w:rPr>
          <w:rFonts w:ascii="Arial" w:hAnsi="Arial" w:cs="Arial"/>
        </w:rPr>
        <w:t xml:space="preserve">průměrný </w:t>
      </w:r>
      <w:r w:rsidRPr="00C21525">
        <w:rPr>
          <w:rFonts w:ascii="Arial" w:hAnsi="Arial" w:cs="Arial"/>
        </w:rPr>
        <w:t>Volkswagen Passat nebo Mercedes-Benz třídy E. Kolem 20 000 km ročně vykazují letos pětileté ojetiny Audi Q7 a sedan BMW řady 5.</w:t>
      </w:r>
    </w:p>
    <w:p w14:paraId="617FEA0E" w14:textId="3CDA575B" w:rsidR="00E96810" w:rsidRPr="00E96810" w:rsidRDefault="00571948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571948">
        <w:rPr>
          <w:rFonts w:ascii="Arial" w:hAnsi="Arial" w:cs="Arial"/>
          <w:b/>
          <w:bCs/>
        </w:rPr>
        <w:t>3 rady pro nákup ojetiny</w:t>
      </w:r>
    </w:p>
    <w:p w14:paraId="67D1BF73" w14:textId="72B0A6C9" w:rsidR="00852DA9" w:rsidRDefault="00311103" w:rsidP="00E96810">
      <w:pPr>
        <w:spacing w:after="120" w:line="276" w:lineRule="auto"/>
        <w:jc w:val="both"/>
        <w:rPr>
          <w:rFonts w:ascii="Arial" w:hAnsi="Arial" w:cs="Arial"/>
        </w:rPr>
      </w:pPr>
      <w:r w:rsidRPr="00311103">
        <w:rPr>
          <w:rFonts w:ascii="Arial" w:hAnsi="Arial" w:cs="Arial"/>
          <w:i/>
          <w:iCs/>
        </w:rPr>
        <w:t>„Při výběru ojetého auta si představte trojúhelník. Na jednom vrcholu jsou nízké kilometry, na druhém výjimečně zachovalý stav, na třetím skvělá cena,“</w:t>
      </w:r>
      <w:r w:rsidRPr="00311103">
        <w:rPr>
          <w:rFonts w:ascii="Arial" w:hAnsi="Arial" w:cs="Arial"/>
        </w:rPr>
        <w:t xml:space="preserve"> vysvětluje Ing. Marek Knieža. </w:t>
      </w:r>
      <w:r w:rsidRPr="00311103">
        <w:rPr>
          <w:rFonts w:ascii="Arial" w:hAnsi="Arial" w:cs="Arial"/>
          <w:i/>
          <w:iCs/>
        </w:rPr>
        <w:t>„Každá ojetina může mít jenom dva vrcholy. Když bude nejetá ve skvělém stavu, nebude levná. Když bude levná a málo jetá, nebude v dobrém stavu. Když bude levná a v dobrém stavu, tak bude mít vysoký nájezd.“</w:t>
      </w:r>
    </w:p>
    <w:p w14:paraId="35812683" w14:textId="16101BE3" w:rsidR="003E38F1" w:rsidRDefault="003E38F1" w:rsidP="003E38F1">
      <w:r>
        <w:rPr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138C8" wp14:editId="6489D07C">
                <wp:simplePos x="0" y="0"/>
                <wp:positionH relativeFrom="column">
                  <wp:posOffset>27305</wp:posOffset>
                </wp:positionH>
                <wp:positionV relativeFrom="paragraph">
                  <wp:posOffset>123190</wp:posOffset>
                </wp:positionV>
                <wp:extent cx="2286635" cy="1205230"/>
                <wp:effectExtent l="0" t="0" r="19685" b="13970"/>
                <wp:wrapSquare wrapText="bothSides"/>
                <wp:docPr id="1394075748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C2673" w14:textId="77777777" w:rsidR="003E38F1" w:rsidRDefault="003E38F1" w:rsidP="003E38F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Cena</w:t>
                            </w:r>
                          </w:p>
                          <w:p w14:paraId="707BE2CA" w14:textId="77777777" w:rsidR="003E38F1" w:rsidRDefault="003E38F1" w:rsidP="003E38F1">
                            <w:pPr>
                              <w:jc w:val="center"/>
                            </w:pPr>
                            <w:r>
                              <w:t xml:space="preserve">Km </w:t>
                            </w:r>
                            <w:r w:rsidRPr="00A402A4">
                              <w:rPr>
                                <w:noProof/>
                              </w:rPr>
                              <w:drawing>
                                <wp:inline distT="0" distB="0" distL="0" distR="0" wp14:anchorId="31618B54" wp14:editId="062ADD87">
                                  <wp:extent cx="1061085" cy="750570"/>
                                  <wp:effectExtent l="0" t="0" r="0" b="0"/>
                                  <wp:docPr id="17424720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085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Stav</w:t>
                            </w:r>
                          </w:p>
                          <w:p w14:paraId="5BB8577E" w14:textId="77777777" w:rsidR="003E38F1" w:rsidRDefault="003E38F1" w:rsidP="003E38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D7138C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.15pt;margin-top:9.7pt;width:180.05pt;height:94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">
                <v:textbox>
                  <w:txbxContent>
                    <w:p w14:paraId="3B9C2673" w14:textId="77777777" w:rsidR="003E38F1" w:rsidRDefault="003E38F1" w:rsidP="003E38F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Cena</w:t>
                      </w:r>
                    </w:p>
                    <w:p w14:paraId="707BE2CA" w14:textId="77777777" w:rsidR="003E38F1" w:rsidRDefault="003E38F1" w:rsidP="003E38F1">
                      <w:pPr>
                        <w:jc w:val="center"/>
                      </w:pPr>
                      <w:r>
                        <w:t xml:space="preserve">Km </w:t>
                      </w:r>
                      <w:r w:rsidRPr="00A402A4">
                        <w:rPr>
                          <w:noProof/>
                        </w:rPr>
                        <w:drawing>
                          <wp:inline distT="0" distB="0" distL="0" distR="0" wp14:anchorId="31618B54" wp14:editId="062ADD87">
                            <wp:extent cx="1061085" cy="750570"/>
                            <wp:effectExtent l="0" t="0" r="0" b="0"/>
                            <wp:docPr id="17424720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085" cy="75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Stav</w:t>
                      </w:r>
                    </w:p>
                    <w:p w14:paraId="5BB8577E" w14:textId="77777777" w:rsidR="003E38F1" w:rsidRDefault="003E38F1" w:rsidP="003E38F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1FE4D4" w14:textId="7777777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D3201D9" w14:textId="030A8A1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7FAEE375" w14:textId="46655419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60BB531B" w14:textId="7914CC81" w:rsidR="00D53BE9" w:rsidRDefault="00D53BE9" w:rsidP="00E71C2A">
      <w:pPr>
        <w:rPr>
          <w:rFonts w:ascii="Arial" w:hAnsi="Arial" w:cs="Arial"/>
        </w:rPr>
      </w:pPr>
    </w:p>
    <w:p w14:paraId="3CEA5886" w14:textId="5E988C2A" w:rsidR="00D53BE9" w:rsidRDefault="00D53BE9" w:rsidP="00E71C2A">
      <w:pPr>
        <w:rPr>
          <w:rFonts w:ascii="Arial" w:hAnsi="Arial" w:cs="Arial"/>
        </w:rPr>
      </w:pPr>
    </w:p>
    <w:p w14:paraId="2917D8E5" w14:textId="27127EA4" w:rsidR="002F5401" w:rsidRDefault="002F5401" w:rsidP="005E4D36">
      <w:pPr>
        <w:spacing w:after="120" w:line="276" w:lineRule="auto"/>
        <w:jc w:val="both"/>
        <w:rPr>
          <w:rFonts w:ascii="Arial" w:hAnsi="Arial" w:cs="Arial"/>
        </w:rPr>
      </w:pPr>
    </w:p>
    <w:p w14:paraId="02935DB1" w14:textId="31B29382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</w:t>
      </w:r>
      <w:r w:rsidR="0007304F">
        <w:rPr>
          <w:rFonts w:ascii="Arial" w:hAnsi="Arial" w:cs="Arial"/>
          <w:b/>
          <w:bCs/>
        </w:rPr>
        <w:t xml:space="preserve"> </w:t>
      </w:r>
      <w:r w:rsidRPr="00886F9B">
        <w:rPr>
          <w:rFonts w:ascii="Arial" w:hAnsi="Arial" w:cs="Arial"/>
          <w:b/>
          <w:bCs/>
        </w:rPr>
        <w:t>TipCars.com</w:t>
      </w:r>
    </w:p>
    <w:p w14:paraId="2BF8094F" w14:textId="77777777" w:rsidR="004813F1" w:rsidRPr="004813F1" w:rsidRDefault="004813F1" w:rsidP="004813F1">
      <w:pPr>
        <w:spacing w:after="120" w:line="276" w:lineRule="auto"/>
        <w:jc w:val="both"/>
        <w:rPr>
          <w:rFonts w:ascii="Arial" w:hAnsi="Arial" w:cs="Arial"/>
        </w:rPr>
      </w:pPr>
      <w:r w:rsidRPr="004813F1">
        <w:rPr>
          <w:rFonts w:ascii="Arial" w:hAnsi="Arial" w:cs="Arial"/>
        </w:rPr>
        <w:t>Zájemcům o ojetý vůz proto odborníci z TipCars.com doporučují věnovat pozornost třem věcem.</w:t>
      </w:r>
    </w:p>
    <w:p w14:paraId="6589F529" w14:textId="77777777" w:rsidR="004813F1" w:rsidRPr="004813F1" w:rsidRDefault="004813F1" w:rsidP="004813F1">
      <w:pPr>
        <w:spacing w:after="120" w:line="276" w:lineRule="auto"/>
        <w:jc w:val="both"/>
        <w:rPr>
          <w:rFonts w:ascii="Arial" w:hAnsi="Arial" w:cs="Arial"/>
        </w:rPr>
      </w:pPr>
    </w:p>
    <w:p w14:paraId="788F2173" w14:textId="64037CF8" w:rsidR="004813F1" w:rsidRDefault="004813F1" w:rsidP="004813F1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4813F1">
        <w:rPr>
          <w:rFonts w:ascii="Arial" w:hAnsi="Arial" w:cs="Arial"/>
          <w:b/>
          <w:bCs/>
        </w:rPr>
        <w:t>Neřeš</w:t>
      </w:r>
      <w:r w:rsidR="000048A1">
        <w:rPr>
          <w:rFonts w:ascii="Arial" w:hAnsi="Arial" w:cs="Arial"/>
          <w:b/>
          <w:bCs/>
        </w:rPr>
        <w:t>te</w:t>
      </w:r>
      <w:r w:rsidRPr="004813F1">
        <w:rPr>
          <w:rFonts w:ascii="Arial" w:hAnsi="Arial" w:cs="Arial"/>
          <w:b/>
          <w:bCs/>
        </w:rPr>
        <w:t xml:space="preserve"> kilometry, ale stav a historii.</w:t>
      </w:r>
      <w:r w:rsidRPr="004813F1">
        <w:rPr>
          <w:rFonts w:ascii="Arial" w:hAnsi="Arial" w:cs="Arial"/>
        </w:rPr>
        <w:t xml:space="preserve"> Zejména s ohledem na riziko stáčení, nejasnou (servisní) historii nebo zanedbané prodloužené servisní intervaly. Automobil s 150 000 km ježděný citlivě po dálnici může být v celkově lepším a perspektivnějším stavu než stejně starý, který má za sebou </w:t>
      </w:r>
      <w:r w:rsidR="00212FB8">
        <w:rPr>
          <w:rFonts w:ascii="Arial" w:hAnsi="Arial" w:cs="Arial"/>
        </w:rPr>
        <w:t>5</w:t>
      </w:r>
      <w:r w:rsidRPr="004813F1">
        <w:rPr>
          <w:rFonts w:ascii="Arial" w:hAnsi="Arial" w:cs="Arial"/>
        </w:rPr>
        <w:t xml:space="preserve">0 000 km krátkých tras po městě. </w:t>
      </w:r>
    </w:p>
    <w:p w14:paraId="079FE3C8" w14:textId="77777777" w:rsidR="000E5F78" w:rsidRPr="004813F1" w:rsidRDefault="000E5F78" w:rsidP="000E5F78">
      <w:pPr>
        <w:pStyle w:val="Odstavecseseznamem"/>
        <w:spacing w:after="120" w:line="276" w:lineRule="auto"/>
        <w:ind w:left="1070"/>
        <w:jc w:val="both"/>
        <w:rPr>
          <w:rFonts w:ascii="Arial" w:hAnsi="Arial" w:cs="Arial"/>
        </w:rPr>
      </w:pPr>
    </w:p>
    <w:p w14:paraId="147C8286" w14:textId="6E49405C" w:rsidR="000E5F78" w:rsidRPr="008F45BB" w:rsidRDefault="004813F1" w:rsidP="00A60848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0E5F78">
        <w:rPr>
          <w:rFonts w:ascii="Arial" w:hAnsi="Arial" w:cs="Arial"/>
          <w:b/>
          <w:bCs/>
        </w:rPr>
        <w:t>Neomez</w:t>
      </w:r>
      <w:r w:rsidR="000048A1" w:rsidRPr="000E5F78">
        <w:rPr>
          <w:rFonts w:ascii="Arial" w:hAnsi="Arial" w:cs="Arial"/>
          <w:b/>
          <w:bCs/>
        </w:rPr>
        <w:t>ujte</w:t>
      </w:r>
      <w:r w:rsidRPr="000E5F78">
        <w:rPr>
          <w:rFonts w:ascii="Arial" w:hAnsi="Arial" w:cs="Arial"/>
          <w:b/>
          <w:bCs/>
        </w:rPr>
        <w:t xml:space="preserve"> hledání na nejbližší okolí</w:t>
      </w:r>
      <w:r w:rsidRPr="008F45BB">
        <w:rPr>
          <w:rFonts w:ascii="Arial" w:hAnsi="Arial" w:cs="Arial"/>
        </w:rPr>
        <w:t xml:space="preserve">. </w:t>
      </w:r>
      <w:r w:rsidR="000E5F78" w:rsidRPr="008F45BB">
        <w:rPr>
          <w:rFonts w:ascii="Arial" w:hAnsi="Arial" w:cs="Arial"/>
        </w:rPr>
        <w:t>Pokud nenajdete to správné auto v nejbližším okolí, tak nezoufejte a hledejte dál</w:t>
      </w:r>
      <w:r w:rsidR="008F45BB">
        <w:rPr>
          <w:rFonts w:ascii="Arial" w:hAnsi="Arial" w:cs="Arial"/>
        </w:rPr>
        <w:t>.</w:t>
      </w:r>
      <w:r w:rsidR="000E5F78" w:rsidRPr="008F45BB">
        <w:rPr>
          <w:rFonts w:ascii="Arial" w:hAnsi="Arial" w:cs="Arial"/>
        </w:rPr>
        <w:t xml:space="preserve"> </w:t>
      </w:r>
      <w:r w:rsidR="008F45BB">
        <w:rPr>
          <w:rFonts w:ascii="Arial" w:hAnsi="Arial" w:cs="Arial"/>
        </w:rPr>
        <w:t>N</w:t>
      </w:r>
      <w:r w:rsidR="000E5F78" w:rsidRPr="008F45BB">
        <w:rPr>
          <w:rFonts w:ascii="Arial" w:hAnsi="Arial" w:cs="Arial"/>
        </w:rPr>
        <w:t>abídka je pestrá napříč celou republikou.</w:t>
      </w:r>
    </w:p>
    <w:p w14:paraId="5582F635" w14:textId="77777777" w:rsidR="000E5F78" w:rsidRDefault="000E5F78" w:rsidP="000E5F78">
      <w:pPr>
        <w:pStyle w:val="Odstavecseseznamem"/>
        <w:ind w:left="1070"/>
      </w:pPr>
    </w:p>
    <w:p w14:paraId="61F34648" w14:textId="1DBC1658" w:rsidR="004813F1" w:rsidRPr="004813F1" w:rsidRDefault="004813F1" w:rsidP="004813F1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4813F1">
        <w:rPr>
          <w:rFonts w:ascii="Arial" w:hAnsi="Arial" w:cs="Arial"/>
          <w:b/>
          <w:bCs/>
        </w:rPr>
        <w:t>Konzult</w:t>
      </w:r>
      <w:r w:rsidR="000048A1">
        <w:rPr>
          <w:rFonts w:ascii="Arial" w:hAnsi="Arial" w:cs="Arial"/>
          <w:b/>
          <w:bCs/>
        </w:rPr>
        <w:t>ujte</w:t>
      </w:r>
      <w:r w:rsidRPr="004813F1">
        <w:rPr>
          <w:rFonts w:ascii="Arial" w:hAnsi="Arial" w:cs="Arial"/>
          <w:b/>
          <w:bCs/>
        </w:rPr>
        <w:t xml:space="preserve"> s odborníkem.</w:t>
      </w:r>
      <w:r w:rsidRPr="004813F1">
        <w:rPr>
          <w:rFonts w:ascii="Arial" w:hAnsi="Arial" w:cs="Arial"/>
        </w:rPr>
        <w:t xml:space="preserve"> Pokud autům nerozumíte, nechte jeho stav prověřit důvěryhodným odborníkem. Může to být někdo z rodiny, známých, nebo váš léty </w:t>
      </w:r>
      <w:r w:rsidRPr="004813F1">
        <w:rPr>
          <w:rFonts w:ascii="Arial" w:hAnsi="Arial" w:cs="Arial"/>
        </w:rPr>
        <w:lastRenderedPageBreak/>
        <w:t xml:space="preserve">ověřený mechanik. Trefou do černého jsou také lidé z fanouškovské scény kolem jednotlivých značek. Doporučit lze také profesionální službu. Na </w:t>
      </w:r>
      <w:proofErr w:type="spellStart"/>
      <w:r w:rsidRPr="004813F1">
        <w:rPr>
          <w:rFonts w:ascii="Arial" w:hAnsi="Arial" w:cs="Arial"/>
        </w:rPr>
        <w:t>TipCars</w:t>
      </w:r>
      <w:proofErr w:type="spellEnd"/>
      <w:r w:rsidRPr="004813F1">
        <w:rPr>
          <w:rFonts w:ascii="Arial" w:hAnsi="Arial" w:cs="Arial"/>
        </w:rPr>
        <w:t xml:space="preserve"> spolupracujeme s partnerem, který dokáže každé námi inzerované auto osobně prověřit, nafotit, zhodnotit stav a posoudit cenu. </w:t>
      </w:r>
    </w:p>
    <w:p w14:paraId="2E9916BC" w14:textId="77777777" w:rsidR="003E38F1" w:rsidRPr="00BC5932" w:rsidRDefault="003E38F1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9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0BA0" w14:textId="77777777" w:rsidR="00E84F6E" w:rsidRDefault="00E84F6E" w:rsidP="00496E4F">
      <w:r>
        <w:separator/>
      </w:r>
    </w:p>
  </w:endnote>
  <w:endnote w:type="continuationSeparator" w:id="0">
    <w:p w14:paraId="15C7332D" w14:textId="77777777" w:rsidR="00E84F6E" w:rsidRDefault="00E84F6E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ACE7" w14:textId="77777777" w:rsidR="00E84F6E" w:rsidRDefault="00E84F6E" w:rsidP="00496E4F">
      <w:r>
        <w:separator/>
      </w:r>
    </w:p>
  </w:footnote>
  <w:footnote w:type="continuationSeparator" w:id="0">
    <w:p w14:paraId="0C6DFDD6" w14:textId="77777777" w:rsidR="00E84F6E" w:rsidRDefault="00E84F6E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E85"/>
    <w:multiLevelType w:val="hybridMultilevel"/>
    <w:tmpl w:val="879AC406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1646"/>
    <w:multiLevelType w:val="hybridMultilevel"/>
    <w:tmpl w:val="71DC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9D35E5"/>
    <w:multiLevelType w:val="hybridMultilevel"/>
    <w:tmpl w:val="C5749378"/>
    <w:lvl w:ilvl="0" w:tplc="847AA94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4103D"/>
    <w:multiLevelType w:val="hybridMultilevel"/>
    <w:tmpl w:val="6CEC0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5"/>
  </w:num>
  <w:num w:numId="2" w16cid:durableId="845897220">
    <w:abstractNumId w:val="9"/>
  </w:num>
  <w:num w:numId="3" w16cid:durableId="1682003675">
    <w:abstractNumId w:val="8"/>
  </w:num>
  <w:num w:numId="4" w16cid:durableId="2016613656">
    <w:abstractNumId w:val="8"/>
  </w:num>
  <w:num w:numId="5" w16cid:durableId="1765346164">
    <w:abstractNumId w:val="1"/>
  </w:num>
  <w:num w:numId="6" w16cid:durableId="47534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2"/>
  </w:num>
  <w:num w:numId="9" w16cid:durableId="1009866536">
    <w:abstractNumId w:val="0"/>
  </w:num>
  <w:num w:numId="10" w16cid:durableId="1504588213">
    <w:abstractNumId w:val="3"/>
  </w:num>
  <w:num w:numId="11" w16cid:durableId="1504904254">
    <w:abstractNumId w:val="7"/>
  </w:num>
  <w:num w:numId="12" w16cid:durableId="1593859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48A1"/>
    <w:rsid w:val="00006CD2"/>
    <w:rsid w:val="000111BC"/>
    <w:rsid w:val="00011A39"/>
    <w:rsid w:val="0001358D"/>
    <w:rsid w:val="00014E59"/>
    <w:rsid w:val="00022FD2"/>
    <w:rsid w:val="00023406"/>
    <w:rsid w:val="00023729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C25"/>
    <w:rsid w:val="0007304F"/>
    <w:rsid w:val="000739D0"/>
    <w:rsid w:val="000740BA"/>
    <w:rsid w:val="00086F77"/>
    <w:rsid w:val="00087850"/>
    <w:rsid w:val="00087E17"/>
    <w:rsid w:val="000A059D"/>
    <w:rsid w:val="000A12D3"/>
    <w:rsid w:val="000A285E"/>
    <w:rsid w:val="000A5692"/>
    <w:rsid w:val="000A5E7F"/>
    <w:rsid w:val="000B263C"/>
    <w:rsid w:val="000E0DC4"/>
    <w:rsid w:val="000E5F78"/>
    <w:rsid w:val="000F3681"/>
    <w:rsid w:val="000F4DCD"/>
    <w:rsid w:val="000F5776"/>
    <w:rsid w:val="000F7D3D"/>
    <w:rsid w:val="00100E16"/>
    <w:rsid w:val="0010239A"/>
    <w:rsid w:val="00102D56"/>
    <w:rsid w:val="00105D27"/>
    <w:rsid w:val="00106C08"/>
    <w:rsid w:val="00111961"/>
    <w:rsid w:val="00112680"/>
    <w:rsid w:val="001152AC"/>
    <w:rsid w:val="00117CB2"/>
    <w:rsid w:val="0012436B"/>
    <w:rsid w:val="0013326A"/>
    <w:rsid w:val="00135ACE"/>
    <w:rsid w:val="00147F59"/>
    <w:rsid w:val="00151B67"/>
    <w:rsid w:val="00152755"/>
    <w:rsid w:val="00164922"/>
    <w:rsid w:val="00164EBE"/>
    <w:rsid w:val="001674A0"/>
    <w:rsid w:val="001677C3"/>
    <w:rsid w:val="00172CF7"/>
    <w:rsid w:val="00176154"/>
    <w:rsid w:val="00182CB6"/>
    <w:rsid w:val="00182F40"/>
    <w:rsid w:val="0019014A"/>
    <w:rsid w:val="0019123B"/>
    <w:rsid w:val="00193E2E"/>
    <w:rsid w:val="001A29C6"/>
    <w:rsid w:val="001A63F5"/>
    <w:rsid w:val="001B17E7"/>
    <w:rsid w:val="001B3AB9"/>
    <w:rsid w:val="001B5A35"/>
    <w:rsid w:val="001C0C54"/>
    <w:rsid w:val="001D0810"/>
    <w:rsid w:val="001D19BD"/>
    <w:rsid w:val="001D35AF"/>
    <w:rsid w:val="001D4A3E"/>
    <w:rsid w:val="001D7A10"/>
    <w:rsid w:val="001E4EE7"/>
    <w:rsid w:val="001E6876"/>
    <w:rsid w:val="001E7C06"/>
    <w:rsid w:val="001F2C5D"/>
    <w:rsid w:val="00200963"/>
    <w:rsid w:val="00203C3E"/>
    <w:rsid w:val="00212FB8"/>
    <w:rsid w:val="0021733B"/>
    <w:rsid w:val="002177C1"/>
    <w:rsid w:val="00221517"/>
    <w:rsid w:val="00221F1E"/>
    <w:rsid w:val="002223AC"/>
    <w:rsid w:val="002231D7"/>
    <w:rsid w:val="00224560"/>
    <w:rsid w:val="00235FB3"/>
    <w:rsid w:val="00237DE5"/>
    <w:rsid w:val="002429DA"/>
    <w:rsid w:val="00243170"/>
    <w:rsid w:val="002459ED"/>
    <w:rsid w:val="002467FF"/>
    <w:rsid w:val="00246923"/>
    <w:rsid w:val="00251E0D"/>
    <w:rsid w:val="002537BA"/>
    <w:rsid w:val="00257ADF"/>
    <w:rsid w:val="00266321"/>
    <w:rsid w:val="0026709B"/>
    <w:rsid w:val="0026727D"/>
    <w:rsid w:val="00270C18"/>
    <w:rsid w:val="002718EC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C097D"/>
    <w:rsid w:val="002C51E3"/>
    <w:rsid w:val="002C7155"/>
    <w:rsid w:val="002C72A4"/>
    <w:rsid w:val="002E7A12"/>
    <w:rsid w:val="002F5401"/>
    <w:rsid w:val="00301DCB"/>
    <w:rsid w:val="00303E12"/>
    <w:rsid w:val="003067D6"/>
    <w:rsid w:val="00311103"/>
    <w:rsid w:val="003122F0"/>
    <w:rsid w:val="003313C3"/>
    <w:rsid w:val="00332F41"/>
    <w:rsid w:val="00335212"/>
    <w:rsid w:val="003368AE"/>
    <w:rsid w:val="00345A86"/>
    <w:rsid w:val="00351B9B"/>
    <w:rsid w:val="00356095"/>
    <w:rsid w:val="00370A5A"/>
    <w:rsid w:val="003742CB"/>
    <w:rsid w:val="0038211F"/>
    <w:rsid w:val="003878DA"/>
    <w:rsid w:val="0039227A"/>
    <w:rsid w:val="003931E5"/>
    <w:rsid w:val="003A0F7D"/>
    <w:rsid w:val="003B004A"/>
    <w:rsid w:val="003B0C2D"/>
    <w:rsid w:val="003B2950"/>
    <w:rsid w:val="003B7EFB"/>
    <w:rsid w:val="003D23D8"/>
    <w:rsid w:val="003D4AE6"/>
    <w:rsid w:val="003D7F74"/>
    <w:rsid w:val="003E38F1"/>
    <w:rsid w:val="003E39EE"/>
    <w:rsid w:val="003E5F44"/>
    <w:rsid w:val="003E6D60"/>
    <w:rsid w:val="003F4C72"/>
    <w:rsid w:val="0040420D"/>
    <w:rsid w:val="00404823"/>
    <w:rsid w:val="00404913"/>
    <w:rsid w:val="00404F45"/>
    <w:rsid w:val="00413FEA"/>
    <w:rsid w:val="0041632A"/>
    <w:rsid w:val="00421B9E"/>
    <w:rsid w:val="004340FC"/>
    <w:rsid w:val="0043604C"/>
    <w:rsid w:val="00436E76"/>
    <w:rsid w:val="00437F47"/>
    <w:rsid w:val="0045074C"/>
    <w:rsid w:val="00450F61"/>
    <w:rsid w:val="00451058"/>
    <w:rsid w:val="00457FA5"/>
    <w:rsid w:val="00465AB6"/>
    <w:rsid w:val="00470B6B"/>
    <w:rsid w:val="00474CEA"/>
    <w:rsid w:val="00477210"/>
    <w:rsid w:val="00480A74"/>
    <w:rsid w:val="004813F1"/>
    <w:rsid w:val="00483B41"/>
    <w:rsid w:val="00490A0D"/>
    <w:rsid w:val="00496E4F"/>
    <w:rsid w:val="004A53C4"/>
    <w:rsid w:val="004B03B5"/>
    <w:rsid w:val="004B41EF"/>
    <w:rsid w:val="004B5552"/>
    <w:rsid w:val="004B61D6"/>
    <w:rsid w:val="004C182A"/>
    <w:rsid w:val="004C2A8A"/>
    <w:rsid w:val="004C7372"/>
    <w:rsid w:val="004D35D4"/>
    <w:rsid w:val="004E5BD7"/>
    <w:rsid w:val="004E5D95"/>
    <w:rsid w:val="004F1DA2"/>
    <w:rsid w:val="004F2239"/>
    <w:rsid w:val="004F5A31"/>
    <w:rsid w:val="00500544"/>
    <w:rsid w:val="00511DA3"/>
    <w:rsid w:val="00512FDA"/>
    <w:rsid w:val="00517853"/>
    <w:rsid w:val="005212D3"/>
    <w:rsid w:val="00524C76"/>
    <w:rsid w:val="00530836"/>
    <w:rsid w:val="00531246"/>
    <w:rsid w:val="00540F80"/>
    <w:rsid w:val="00541ED5"/>
    <w:rsid w:val="00545CC2"/>
    <w:rsid w:val="00545EAD"/>
    <w:rsid w:val="0056299D"/>
    <w:rsid w:val="00564D59"/>
    <w:rsid w:val="00567194"/>
    <w:rsid w:val="00571948"/>
    <w:rsid w:val="005733DA"/>
    <w:rsid w:val="00574B85"/>
    <w:rsid w:val="00575A28"/>
    <w:rsid w:val="00576010"/>
    <w:rsid w:val="00585859"/>
    <w:rsid w:val="00586017"/>
    <w:rsid w:val="00590012"/>
    <w:rsid w:val="00592576"/>
    <w:rsid w:val="00594815"/>
    <w:rsid w:val="00597EBF"/>
    <w:rsid w:val="005A04AF"/>
    <w:rsid w:val="005A0E3C"/>
    <w:rsid w:val="005A48A6"/>
    <w:rsid w:val="005A66DF"/>
    <w:rsid w:val="005A7DD5"/>
    <w:rsid w:val="005B0CFD"/>
    <w:rsid w:val="005B3EA8"/>
    <w:rsid w:val="005B5F88"/>
    <w:rsid w:val="005C0C8F"/>
    <w:rsid w:val="005C2F8C"/>
    <w:rsid w:val="005C5855"/>
    <w:rsid w:val="005D233A"/>
    <w:rsid w:val="005E1D89"/>
    <w:rsid w:val="005E4D36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11C4"/>
    <w:rsid w:val="006573BB"/>
    <w:rsid w:val="00660F60"/>
    <w:rsid w:val="00662AEA"/>
    <w:rsid w:val="006649AA"/>
    <w:rsid w:val="00667EAD"/>
    <w:rsid w:val="00670B54"/>
    <w:rsid w:val="00672B3A"/>
    <w:rsid w:val="00673CBE"/>
    <w:rsid w:val="00680877"/>
    <w:rsid w:val="0068756D"/>
    <w:rsid w:val="00694955"/>
    <w:rsid w:val="006A1507"/>
    <w:rsid w:val="006A51DD"/>
    <w:rsid w:val="006B321A"/>
    <w:rsid w:val="006B6E11"/>
    <w:rsid w:val="006C05E7"/>
    <w:rsid w:val="006C14F5"/>
    <w:rsid w:val="006C5A57"/>
    <w:rsid w:val="006D07D4"/>
    <w:rsid w:val="006D19CF"/>
    <w:rsid w:val="006D26DB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7DC9"/>
    <w:rsid w:val="00720B14"/>
    <w:rsid w:val="007214CC"/>
    <w:rsid w:val="00721D8B"/>
    <w:rsid w:val="0073203C"/>
    <w:rsid w:val="007340E5"/>
    <w:rsid w:val="0074035F"/>
    <w:rsid w:val="00740F1E"/>
    <w:rsid w:val="00741095"/>
    <w:rsid w:val="00744595"/>
    <w:rsid w:val="00751ABC"/>
    <w:rsid w:val="00751B59"/>
    <w:rsid w:val="00760046"/>
    <w:rsid w:val="0077023F"/>
    <w:rsid w:val="007733BA"/>
    <w:rsid w:val="00773C7B"/>
    <w:rsid w:val="00777606"/>
    <w:rsid w:val="00777961"/>
    <w:rsid w:val="00783AFF"/>
    <w:rsid w:val="00784A0E"/>
    <w:rsid w:val="00787B3B"/>
    <w:rsid w:val="00792239"/>
    <w:rsid w:val="007A3C23"/>
    <w:rsid w:val="007B0356"/>
    <w:rsid w:val="007B1AFE"/>
    <w:rsid w:val="007B5D54"/>
    <w:rsid w:val="007C10C6"/>
    <w:rsid w:val="007C6D51"/>
    <w:rsid w:val="007D43EB"/>
    <w:rsid w:val="007D54A8"/>
    <w:rsid w:val="007D778C"/>
    <w:rsid w:val="007E023F"/>
    <w:rsid w:val="007E14AD"/>
    <w:rsid w:val="007E78E0"/>
    <w:rsid w:val="007F6143"/>
    <w:rsid w:val="0080068B"/>
    <w:rsid w:val="00801E7F"/>
    <w:rsid w:val="00803671"/>
    <w:rsid w:val="0080542E"/>
    <w:rsid w:val="0080549B"/>
    <w:rsid w:val="00805BF0"/>
    <w:rsid w:val="008116F5"/>
    <w:rsid w:val="0081562B"/>
    <w:rsid w:val="0081594B"/>
    <w:rsid w:val="008219B1"/>
    <w:rsid w:val="008245B2"/>
    <w:rsid w:val="00826796"/>
    <w:rsid w:val="008315ED"/>
    <w:rsid w:val="008345A6"/>
    <w:rsid w:val="00836BB3"/>
    <w:rsid w:val="00836ED1"/>
    <w:rsid w:val="008504F3"/>
    <w:rsid w:val="00852DA9"/>
    <w:rsid w:val="00855B93"/>
    <w:rsid w:val="00860941"/>
    <w:rsid w:val="008613C4"/>
    <w:rsid w:val="00863889"/>
    <w:rsid w:val="008707AB"/>
    <w:rsid w:val="0087718C"/>
    <w:rsid w:val="00884389"/>
    <w:rsid w:val="00886F9B"/>
    <w:rsid w:val="00890753"/>
    <w:rsid w:val="00890E21"/>
    <w:rsid w:val="0089215C"/>
    <w:rsid w:val="00896C1C"/>
    <w:rsid w:val="008B3F30"/>
    <w:rsid w:val="008B5C82"/>
    <w:rsid w:val="008D68F5"/>
    <w:rsid w:val="008E0EB4"/>
    <w:rsid w:val="008E0EFC"/>
    <w:rsid w:val="008E3201"/>
    <w:rsid w:val="008E3B6C"/>
    <w:rsid w:val="008E6334"/>
    <w:rsid w:val="008F0C29"/>
    <w:rsid w:val="008F1480"/>
    <w:rsid w:val="008F21F6"/>
    <w:rsid w:val="008F45BB"/>
    <w:rsid w:val="008F61B4"/>
    <w:rsid w:val="009019CE"/>
    <w:rsid w:val="0090566D"/>
    <w:rsid w:val="009064C5"/>
    <w:rsid w:val="009141EC"/>
    <w:rsid w:val="00916CCC"/>
    <w:rsid w:val="00916E0C"/>
    <w:rsid w:val="00921942"/>
    <w:rsid w:val="009357EB"/>
    <w:rsid w:val="00935AB7"/>
    <w:rsid w:val="0094424A"/>
    <w:rsid w:val="00946627"/>
    <w:rsid w:val="00952765"/>
    <w:rsid w:val="00956B62"/>
    <w:rsid w:val="00957F07"/>
    <w:rsid w:val="00957FD9"/>
    <w:rsid w:val="00963434"/>
    <w:rsid w:val="00966D6D"/>
    <w:rsid w:val="009773BC"/>
    <w:rsid w:val="00985AEF"/>
    <w:rsid w:val="00991B68"/>
    <w:rsid w:val="009936DC"/>
    <w:rsid w:val="00996CA0"/>
    <w:rsid w:val="009A297A"/>
    <w:rsid w:val="009A5917"/>
    <w:rsid w:val="009B1AF1"/>
    <w:rsid w:val="009B384B"/>
    <w:rsid w:val="009B484A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3C6B"/>
    <w:rsid w:val="00A05F0B"/>
    <w:rsid w:val="00A1416B"/>
    <w:rsid w:val="00A155CF"/>
    <w:rsid w:val="00A20F9D"/>
    <w:rsid w:val="00A24AB8"/>
    <w:rsid w:val="00A33205"/>
    <w:rsid w:val="00A35EC3"/>
    <w:rsid w:val="00A362C0"/>
    <w:rsid w:val="00A40D1B"/>
    <w:rsid w:val="00A41CE0"/>
    <w:rsid w:val="00A444EE"/>
    <w:rsid w:val="00A548FF"/>
    <w:rsid w:val="00A570B3"/>
    <w:rsid w:val="00A60848"/>
    <w:rsid w:val="00A61243"/>
    <w:rsid w:val="00A65754"/>
    <w:rsid w:val="00A670E2"/>
    <w:rsid w:val="00A71E19"/>
    <w:rsid w:val="00A72A04"/>
    <w:rsid w:val="00A75287"/>
    <w:rsid w:val="00A767C8"/>
    <w:rsid w:val="00A81E70"/>
    <w:rsid w:val="00A838FE"/>
    <w:rsid w:val="00A8639D"/>
    <w:rsid w:val="00A868A4"/>
    <w:rsid w:val="00A86C25"/>
    <w:rsid w:val="00A875EF"/>
    <w:rsid w:val="00A92075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D3C35"/>
    <w:rsid w:val="00AD52CB"/>
    <w:rsid w:val="00AD65AD"/>
    <w:rsid w:val="00AE2263"/>
    <w:rsid w:val="00AE26EA"/>
    <w:rsid w:val="00AF06EE"/>
    <w:rsid w:val="00B01EB1"/>
    <w:rsid w:val="00B020B1"/>
    <w:rsid w:val="00B02AC4"/>
    <w:rsid w:val="00B04549"/>
    <w:rsid w:val="00B0690C"/>
    <w:rsid w:val="00B10B7D"/>
    <w:rsid w:val="00B1234C"/>
    <w:rsid w:val="00B14766"/>
    <w:rsid w:val="00B149C6"/>
    <w:rsid w:val="00B16BA8"/>
    <w:rsid w:val="00B21AC7"/>
    <w:rsid w:val="00B22D14"/>
    <w:rsid w:val="00B26055"/>
    <w:rsid w:val="00B32458"/>
    <w:rsid w:val="00B460C4"/>
    <w:rsid w:val="00B54335"/>
    <w:rsid w:val="00B55DDF"/>
    <w:rsid w:val="00B56386"/>
    <w:rsid w:val="00B57C4B"/>
    <w:rsid w:val="00B601C4"/>
    <w:rsid w:val="00B613F7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B5650"/>
    <w:rsid w:val="00BC2036"/>
    <w:rsid w:val="00BC3EE1"/>
    <w:rsid w:val="00BC40CE"/>
    <w:rsid w:val="00BC5932"/>
    <w:rsid w:val="00BC72EB"/>
    <w:rsid w:val="00BD1033"/>
    <w:rsid w:val="00BD2F0C"/>
    <w:rsid w:val="00BD363A"/>
    <w:rsid w:val="00BD7BD0"/>
    <w:rsid w:val="00BE335A"/>
    <w:rsid w:val="00BF709C"/>
    <w:rsid w:val="00BF78C0"/>
    <w:rsid w:val="00C02987"/>
    <w:rsid w:val="00C0498D"/>
    <w:rsid w:val="00C1366B"/>
    <w:rsid w:val="00C137D5"/>
    <w:rsid w:val="00C13D20"/>
    <w:rsid w:val="00C15AF4"/>
    <w:rsid w:val="00C16FB3"/>
    <w:rsid w:val="00C21525"/>
    <w:rsid w:val="00C23A5B"/>
    <w:rsid w:val="00C23EA8"/>
    <w:rsid w:val="00C260AC"/>
    <w:rsid w:val="00C27295"/>
    <w:rsid w:val="00C37ACB"/>
    <w:rsid w:val="00C54BAF"/>
    <w:rsid w:val="00C61410"/>
    <w:rsid w:val="00C6307B"/>
    <w:rsid w:val="00C631E5"/>
    <w:rsid w:val="00C73456"/>
    <w:rsid w:val="00C74E88"/>
    <w:rsid w:val="00C75EF9"/>
    <w:rsid w:val="00C77323"/>
    <w:rsid w:val="00C83CA4"/>
    <w:rsid w:val="00C94BDB"/>
    <w:rsid w:val="00CA078D"/>
    <w:rsid w:val="00CA15F7"/>
    <w:rsid w:val="00CA543B"/>
    <w:rsid w:val="00CB2801"/>
    <w:rsid w:val="00CB66E4"/>
    <w:rsid w:val="00CC3FC0"/>
    <w:rsid w:val="00CC40B0"/>
    <w:rsid w:val="00CC7751"/>
    <w:rsid w:val="00CD6A1F"/>
    <w:rsid w:val="00CE1294"/>
    <w:rsid w:val="00CE26D1"/>
    <w:rsid w:val="00CE62C8"/>
    <w:rsid w:val="00CE77F6"/>
    <w:rsid w:val="00CF1F76"/>
    <w:rsid w:val="00CF2F4F"/>
    <w:rsid w:val="00CF4E5F"/>
    <w:rsid w:val="00CF65E4"/>
    <w:rsid w:val="00CF7ED1"/>
    <w:rsid w:val="00D00129"/>
    <w:rsid w:val="00D077C3"/>
    <w:rsid w:val="00D135A1"/>
    <w:rsid w:val="00D14AAA"/>
    <w:rsid w:val="00D24B26"/>
    <w:rsid w:val="00D26F3C"/>
    <w:rsid w:val="00D333A2"/>
    <w:rsid w:val="00D340F0"/>
    <w:rsid w:val="00D358A7"/>
    <w:rsid w:val="00D424A6"/>
    <w:rsid w:val="00D44981"/>
    <w:rsid w:val="00D53433"/>
    <w:rsid w:val="00D53BE9"/>
    <w:rsid w:val="00D5599E"/>
    <w:rsid w:val="00D57CF7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B205C"/>
    <w:rsid w:val="00DB4F83"/>
    <w:rsid w:val="00DB62CB"/>
    <w:rsid w:val="00DC3DDE"/>
    <w:rsid w:val="00DD11A9"/>
    <w:rsid w:val="00DD2329"/>
    <w:rsid w:val="00DD31F7"/>
    <w:rsid w:val="00DD384C"/>
    <w:rsid w:val="00DD63AD"/>
    <w:rsid w:val="00DE17CD"/>
    <w:rsid w:val="00DF21C3"/>
    <w:rsid w:val="00DF37E9"/>
    <w:rsid w:val="00E03F33"/>
    <w:rsid w:val="00E040D3"/>
    <w:rsid w:val="00E17EE4"/>
    <w:rsid w:val="00E26B2A"/>
    <w:rsid w:val="00E423A3"/>
    <w:rsid w:val="00E43CEB"/>
    <w:rsid w:val="00E5117E"/>
    <w:rsid w:val="00E517FB"/>
    <w:rsid w:val="00E542A8"/>
    <w:rsid w:val="00E57C4B"/>
    <w:rsid w:val="00E57F4B"/>
    <w:rsid w:val="00E636E4"/>
    <w:rsid w:val="00E6465C"/>
    <w:rsid w:val="00E64E81"/>
    <w:rsid w:val="00E70A2E"/>
    <w:rsid w:val="00E71C2A"/>
    <w:rsid w:val="00E7324F"/>
    <w:rsid w:val="00E769A4"/>
    <w:rsid w:val="00E8122C"/>
    <w:rsid w:val="00E84646"/>
    <w:rsid w:val="00E84649"/>
    <w:rsid w:val="00E84F6E"/>
    <w:rsid w:val="00E93ABC"/>
    <w:rsid w:val="00E961C7"/>
    <w:rsid w:val="00E9635E"/>
    <w:rsid w:val="00E96810"/>
    <w:rsid w:val="00E979C7"/>
    <w:rsid w:val="00EB01E5"/>
    <w:rsid w:val="00EB2976"/>
    <w:rsid w:val="00EB4B75"/>
    <w:rsid w:val="00EB5371"/>
    <w:rsid w:val="00EB7205"/>
    <w:rsid w:val="00EC0408"/>
    <w:rsid w:val="00EC0410"/>
    <w:rsid w:val="00EC52FE"/>
    <w:rsid w:val="00EC5D19"/>
    <w:rsid w:val="00ED4173"/>
    <w:rsid w:val="00ED4F32"/>
    <w:rsid w:val="00ED6A6F"/>
    <w:rsid w:val="00EE275C"/>
    <w:rsid w:val="00EE2F82"/>
    <w:rsid w:val="00EE4659"/>
    <w:rsid w:val="00EE51D6"/>
    <w:rsid w:val="00EE572A"/>
    <w:rsid w:val="00EE5DB5"/>
    <w:rsid w:val="00EF0D7F"/>
    <w:rsid w:val="00EF4711"/>
    <w:rsid w:val="00EF63AB"/>
    <w:rsid w:val="00F125A7"/>
    <w:rsid w:val="00F1378A"/>
    <w:rsid w:val="00F16754"/>
    <w:rsid w:val="00F41ECD"/>
    <w:rsid w:val="00F46F12"/>
    <w:rsid w:val="00F47B5A"/>
    <w:rsid w:val="00F54BA1"/>
    <w:rsid w:val="00F7585D"/>
    <w:rsid w:val="00F812D2"/>
    <w:rsid w:val="00F82B3D"/>
    <w:rsid w:val="00F8436E"/>
    <w:rsid w:val="00F85DEF"/>
    <w:rsid w:val="00F91726"/>
    <w:rsid w:val="00F97861"/>
    <w:rsid w:val="00FA0F23"/>
    <w:rsid w:val="00FA37A8"/>
    <w:rsid w:val="00FB03CB"/>
    <w:rsid w:val="00FB1D83"/>
    <w:rsid w:val="00FB21D2"/>
    <w:rsid w:val="00FB51A5"/>
    <w:rsid w:val="00FB6E55"/>
    <w:rsid w:val="00FC210B"/>
    <w:rsid w:val="00FC7D5C"/>
    <w:rsid w:val="00FD3EDF"/>
    <w:rsid w:val="00FE1126"/>
    <w:rsid w:val="00FE2DEF"/>
    <w:rsid w:val="00FE40EB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olatzka@madison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5581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2024-05-23T06:03:00Z</dcterms:created>
  <dcterms:modified xsi:type="dcterms:W3CDTF">2024-05-23T06:03:00Z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